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AD53" w14:textId="59023444" w:rsidR="00B04177" w:rsidRPr="004E366E" w:rsidRDefault="00AA20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Practice 6-7 </w:t>
      </w:r>
    </w:p>
    <w:p w14:paraId="67BAC4F0" w14:textId="282E4088" w:rsidR="004E366E" w:rsidRDefault="00AA20A9" w:rsidP="004E366E">
      <w:pPr>
        <w:pStyle w:val="a3"/>
        <w:ind w:left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Reporting standards and guidance: Presenting the performance audit result </w:t>
      </w:r>
      <w:r w:rsidR="004E366E"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E366E" w:rsidRPr="00D808AD">
          <w:rPr>
            <w:rStyle w:val="a4"/>
            <w:rFonts w:ascii="Times New Roman" w:hAnsi="Times New Roman" w:cs="Times New Roman"/>
            <w:sz w:val="28"/>
            <w:szCs w:val="28"/>
          </w:rPr>
          <w:t>https://www.auditorgeneral.gov.tt/sites/default/files/Performance%20Audit%20Guidelines.pdf</w:t>
        </w:r>
      </w:hyperlink>
      <w:r w:rsidR="000232D3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6E6E5C" w14:textId="42435E6C" w:rsidR="000232D3" w:rsidRDefault="000232D3" w:rsidP="004E366E">
      <w:pPr>
        <w:pStyle w:val="a3"/>
        <w:ind w:left="0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</w:p>
    <w:p w14:paraId="2D8A26D5" w14:textId="16289093" w:rsidR="000232D3" w:rsidRPr="000232D3" w:rsidRDefault="000232D3" w:rsidP="004E366E">
      <w:pPr>
        <w:pStyle w:val="a3"/>
        <w:ind w:left="0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p 69</w:t>
      </w:r>
    </w:p>
    <w:p w14:paraId="7B6C50EB" w14:textId="77777777" w:rsidR="0064769A" w:rsidRPr="00D808AD" w:rsidRDefault="0064769A" w:rsidP="004E36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C74A99C" w14:textId="29C75AA6" w:rsidR="00AA20A9" w:rsidRPr="004E366E" w:rsidRDefault="00AA20A9" w:rsidP="0064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What does the need to focus on the final report involve? </w:t>
      </w:r>
    </w:p>
    <w:p w14:paraId="129B8E05" w14:textId="05377E85" w:rsidR="00AA20A9" w:rsidRPr="004E366E" w:rsidRDefault="00AA20A9" w:rsidP="004E3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What is required to make the report reliable? </w:t>
      </w:r>
    </w:p>
    <w:p w14:paraId="534BEC42" w14:textId="36AEF22E" w:rsidR="00AA20A9" w:rsidRPr="004E366E" w:rsidRDefault="00AA20A9" w:rsidP="004E3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4E366E">
        <w:rPr>
          <w:rFonts w:ascii="Times New Roman" w:hAnsi="Times New Roman" w:cs="Times New Roman"/>
          <w:sz w:val="28"/>
          <w:szCs w:val="28"/>
          <w:lang w:val="en-US"/>
        </w:rPr>
        <w:t>characterises</w:t>
      </w:r>
      <w:proofErr w:type="spellEnd"/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 a good and useful performance</w:t>
      </w:r>
      <w:r w:rsidR="004E366E"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audit report? </w:t>
      </w:r>
    </w:p>
    <w:p w14:paraId="22B389DA" w14:textId="6553B9F0" w:rsidR="00AA20A9" w:rsidRPr="004E366E" w:rsidRDefault="00AA20A9" w:rsidP="004E3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How should a performance audit report be distributed? </w:t>
      </w:r>
    </w:p>
    <w:p w14:paraId="5CBC3CEC" w14:textId="16C61D0D" w:rsidR="00AA20A9" w:rsidRPr="004E366E" w:rsidRDefault="00AA20A9" w:rsidP="004E3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366E">
        <w:rPr>
          <w:rFonts w:ascii="Times New Roman" w:hAnsi="Times New Roman" w:cs="Times New Roman"/>
          <w:sz w:val="28"/>
          <w:szCs w:val="28"/>
          <w:lang w:val="en-US"/>
        </w:rPr>
        <w:t xml:space="preserve">What purposes do follow-up processes serve? </w:t>
      </w:r>
    </w:p>
    <w:p w14:paraId="449BE95F" w14:textId="6106AF1C" w:rsidR="00AA20A9" w:rsidRPr="004E366E" w:rsidRDefault="00AA20A9" w:rsidP="00AA20A9">
      <w:pPr>
        <w:rPr>
          <w:sz w:val="28"/>
          <w:szCs w:val="28"/>
          <w:lang w:val="en-US"/>
        </w:rPr>
      </w:pPr>
    </w:p>
    <w:sectPr w:rsidR="00AA20A9" w:rsidRPr="004E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7640"/>
    <w:multiLevelType w:val="hybridMultilevel"/>
    <w:tmpl w:val="871CDF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7"/>
    <w:rsid w:val="000232D3"/>
    <w:rsid w:val="004A1F55"/>
    <w:rsid w:val="004E366E"/>
    <w:rsid w:val="0064769A"/>
    <w:rsid w:val="00AA20A9"/>
    <w:rsid w:val="00B04177"/>
    <w:rsid w:val="00B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4450"/>
  <w15:chartTrackingRefBased/>
  <w15:docId w15:val="{7465B53E-2C89-4BF4-9F31-D0014DD9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6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orgeneral.gov.tt/sites/default/files/Performance%20Audit%20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2020-10-10T12:45:00Z</dcterms:created>
  <dcterms:modified xsi:type="dcterms:W3CDTF">2020-10-10T12:50:00Z</dcterms:modified>
</cp:coreProperties>
</file>