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3D43" w14:textId="77777777" w:rsidR="00D075C9" w:rsidRPr="00D075C9" w:rsidRDefault="00D075C9" w:rsidP="00D075C9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D075C9">
        <w:rPr>
          <w:rFonts w:eastAsia="Times New Roman" w:cs="Times New Roman"/>
          <w:b/>
          <w:bCs/>
          <w:kern w:val="36"/>
          <w:szCs w:val="28"/>
          <w:lang w:eastAsia="ru-RU"/>
        </w:rPr>
        <w:t>ДӘРІС: БЛОКЧЕЙНДІ ҚҰРАСТЫРУ – НЕГІЗГІ ПРИНЦИПТЕР ЖӘНЕ ҚҰРЫЛЫМ</w:t>
      </w:r>
    </w:p>
    <w:p w14:paraId="7BD6EDEE" w14:textId="77777777" w:rsidR="00D075C9" w:rsidRPr="00D075C9" w:rsidRDefault="00D075C9" w:rsidP="00D075C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>КІРІСПЕ</w:t>
      </w:r>
    </w:p>
    <w:p w14:paraId="7F72C54F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1.1 Блокчейн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71085FA8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>Блокчейн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Blockchain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орталықтандырылмаған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үлестірілген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таратылған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өзгермейтін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базасы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біртұтас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тізбек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блоктар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түрінде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блок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алдыңғы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блокпен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жолмен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байланысқан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байланыс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өзгермейтін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694AA8E3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1.2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Блокчейнді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құрастыру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не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қажет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703E0C37" w14:textId="77777777" w:rsidR="00D075C9" w:rsidRPr="00D075C9" w:rsidRDefault="00D075C9" w:rsidP="00D0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Блокчейндегі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өзгертуге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жатпайды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ол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сенімділікке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ие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17678E92" w14:textId="77777777" w:rsidR="00D075C9" w:rsidRPr="00D075C9" w:rsidRDefault="00D075C9" w:rsidP="00D0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Орталықсыздандыру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серверде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бүкіл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желіге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таратылады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7AD542CA" w14:textId="77777777" w:rsidR="00D075C9" w:rsidRPr="00D075C9" w:rsidRDefault="00D075C9" w:rsidP="00D0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Ашықтық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Көпшілік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блокчейндерде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адамға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көрінетін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627031B9" w14:textId="77777777" w:rsidR="00D075C9" w:rsidRPr="00D075C9" w:rsidRDefault="00D075C9" w:rsidP="00D07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Құпиялылық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Жеке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блокчейндерде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рұқсатсыз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қатысушылар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ақпаратқа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қол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жеткізе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алмайды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0530673E" w14:textId="5E730437" w:rsidR="00D075C9" w:rsidRPr="00D075C9" w:rsidRDefault="00D075C9" w:rsidP="00D075C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CF5719E" w14:textId="77777777" w:rsidR="00D075C9" w:rsidRPr="00D075C9" w:rsidRDefault="00D075C9" w:rsidP="00D075C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>2. БЛОКЧЕЙННІҢ НЕГІЗГІ ҚҰРЫЛЫМЫ</w:t>
      </w:r>
    </w:p>
    <w:p w14:paraId="5F1487CC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075C9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компоненттерден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:</w:t>
      </w:r>
    </w:p>
    <w:p w14:paraId="31AA8F4D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Блоктар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Blocks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77484FEA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блок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элементтерді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:</w:t>
      </w:r>
    </w:p>
    <w:p w14:paraId="2C2EC722" w14:textId="77777777" w:rsidR="00D075C9" w:rsidRPr="00D075C9" w:rsidRDefault="00D075C9" w:rsidP="00D075C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Мәліметтер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Transactions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/Data)</w:t>
      </w:r>
      <w:r w:rsidRPr="00D075C9">
        <w:rPr>
          <w:rFonts w:eastAsia="Times New Roman" w:cs="Times New Roman"/>
          <w:szCs w:val="28"/>
          <w:lang w:eastAsia="ru-RU"/>
        </w:rPr>
        <w:t xml:space="preserve"> – Блок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199A3866" w14:textId="77777777" w:rsidR="00D075C9" w:rsidRPr="00D075C9" w:rsidRDefault="00D075C9" w:rsidP="00D075C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Алдыңғы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блоктың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хэші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Previous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Block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Hash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үздіксіздігін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4C725AC0" w14:textId="77777777" w:rsidR="00D075C9" w:rsidRPr="00D075C9" w:rsidRDefault="00D075C9" w:rsidP="00D075C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Хэш (Block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Hash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Блоктың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өзіндік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бірегей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идентификаторы.</w:t>
      </w:r>
    </w:p>
    <w:p w14:paraId="5A104C58" w14:textId="77777777" w:rsidR="00D075C9" w:rsidRPr="00D075C9" w:rsidRDefault="00D075C9" w:rsidP="00D075C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Таңба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Timestamp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  <w:r w:rsidRPr="00D075C9">
        <w:rPr>
          <w:rFonts w:eastAsia="Times New Roman" w:cs="Times New Roman"/>
          <w:szCs w:val="28"/>
          <w:lang w:eastAsia="ru-RU"/>
        </w:rPr>
        <w:t xml:space="preserve"> – Блок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жасалған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белгісі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3E4DA895" w14:textId="77777777" w:rsidR="00D075C9" w:rsidRPr="00D075C9" w:rsidRDefault="00D075C9" w:rsidP="00D075C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Nonce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Қайта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есептелетін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сан)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Proof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-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of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-Work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алгоритмінде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44492316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Хэштеу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криптография</w:t>
      </w:r>
    </w:p>
    <w:p w14:paraId="44D3DD5B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szCs w:val="28"/>
          <w:lang w:eastAsia="ru-RU"/>
        </w:rPr>
        <w:lastRenderedPageBreak/>
        <w:t>Блокчейнде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ақпараттың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өзгермейтіндігін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r w:rsidRPr="00D075C9">
        <w:rPr>
          <w:rFonts w:eastAsia="Times New Roman" w:cs="Times New Roman"/>
          <w:b/>
          <w:bCs/>
          <w:szCs w:val="28"/>
          <w:lang w:eastAsia="ru-RU"/>
        </w:rPr>
        <w:t>SHA-256</w:t>
      </w:r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хэш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функциялары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блоктың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хэші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өз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мазмұнын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алдыңғы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блоктың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хэшін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0EDFC826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Түйіндер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Nodes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3A0E1659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075C9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желісіндегі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компьютерлер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түйіндер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nodes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аталады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түрлерге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:</w:t>
      </w:r>
    </w:p>
    <w:p w14:paraId="497C252E" w14:textId="77777777" w:rsidR="00D075C9" w:rsidRPr="00D075C9" w:rsidRDefault="00D075C9" w:rsidP="00D075C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Толық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түйіндер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(Full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Nodes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көшірмесін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сақтайды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тексереді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3AAB2F2D" w14:textId="77777777" w:rsidR="00D075C9" w:rsidRPr="00D075C9" w:rsidRDefault="00D075C9" w:rsidP="00D075C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Жеңіл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түйіндер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(Light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Nodes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  <w:r w:rsidRPr="00D075C9">
        <w:rPr>
          <w:rFonts w:eastAsia="Times New Roman" w:cs="Times New Roman"/>
          <w:szCs w:val="28"/>
          <w:lang w:eastAsia="ru-RU"/>
        </w:rPr>
        <w:t xml:space="preserve"> – Тек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ең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сақтайды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түйіндерге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тәуелді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543DA68A" w14:textId="77777777" w:rsidR="00D075C9" w:rsidRPr="00D075C9" w:rsidRDefault="00D075C9" w:rsidP="00D075C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Майнер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түйіндер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(Mining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Nodes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Proof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-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of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-Work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алгоритмі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блоктарды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өңдеп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желіге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қосады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5C2AEA20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2.4 Консенсус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механизмдері</w:t>
      </w:r>
      <w:proofErr w:type="spellEnd"/>
    </w:p>
    <w:p w14:paraId="7564C056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szCs w:val="28"/>
          <w:lang w:eastAsia="ru-RU"/>
        </w:rPr>
        <w:t>Блокчейнде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растау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келісу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консенсус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механизмдері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:</w:t>
      </w:r>
    </w:p>
    <w:p w14:paraId="3533A6F8" w14:textId="77777777" w:rsidR="00D075C9" w:rsidRPr="00D075C9" w:rsidRDefault="00D075C9" w:rsidP="00D075C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Proof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-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of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-Work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PoW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қуатына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механизм (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қолданады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).</w:t>
      </w:r>
    </w:p>
    <w:p w14:paraId="19993829" w14:textId="77777777" w:rsidR="00D075C9" w:rsidRPr="00D075C9" w:rsidRDefault="00D075C9" w:rsidP="00D075C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Proof-of-Stake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PoS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Желідегі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қатысушылардың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баланс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деңгейіне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260C3BFC" w14:textId="77777777" w:rsidR="00D075C9" w:rsidRPr="00D075C9" w:rsidRDefault="00D075C9" w:rsidP="00D075C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Delegated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Proof-of-Stake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DPoS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делегаттар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өңдейді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3E660A23" w14:textId="77777777" w:rsidR="00D075C9" w:rsidRPr="00D075C9" w:rsidRDefault="00D075C9" w:rsidP="00D075C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D075C9">
        <w:rPr>
          <w:rFonts w:eastAsia="Times New Roman" w:cs="Times New Roman"/>
          <w:b/>
          <w:bCs/>
          <w:szCs w:val="28"/>
          <w:lang w:val="en-US" w:eastAsia="ru-RU"/>
        </w:rPr>
        <w:t>Practical Byzantine Fault Tolerance (PBFT)</w:t>
      </w:r>
      <w:r w:rsidRPr="00D075C9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D075C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жүйелерде</w:t>
      </w:r>
      <w:proofErr w:type="spellEnd"/>
      <w:r w:rsidRPr="00D075C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D075C9">
        <w:rPr>
          <w:rFonts w:eastAsia="Times New Roman" w:cs="Times New Roman"/>
          <w:szCs w:val="28"/>
          <w:lang w:val="en-US" w:eastAsia="ru-RU"/>
        </w:rPr>
        <w:t>.</w:t>
      </w:r>
    </w:p>
    <w:p w14:paraId="6B9FC784" w14:textId="54FBE452" w:rsidR="00D075C9" w:rsidRPr="00D075C9" w:rsidRDefault="00D075C9" w:rsidP="00D075C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BB5F4E2" w14:textId="77777777" w:rsidR="00D075C9" w:rsidRPr="00D075C9" w:rsidRDefault="00D075C9" w:rsidP="00D075C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>3. БЛОКЧЕЙНДІҢ ЖҰМЫС ІСТЕУ ПРИНЦИПІ</w:t>
      </w:r>
    </w:p>
    <w:p w14:paraId="3E806B87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szCs w:val="28"/>
          <w:lang w:eastAsia="ru-RU"/>
        </w:rPr>
        <w:t>Блокчейнді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құрастыру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істейтінін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түсіну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5FA9E365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Блоктың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жасалу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процесі</w:t>
      </w:r>
      <w:proofErr w:type="spellEnd"/>
    </w:p>
    <w:p w14:paraId="1385933A" w14:textId="77777777" w:rsidR="00D075C9" w:rsidRPr="00D075C9" w:rsidRDefault="00D075C9" w:rsidP="00D075C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Транзакцияның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басталуы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Қолданушы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транзакцияны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іске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қосады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066DE361" w14:textId="77777777" w:rsidR="00D075C9" w:rsidRPr="00D075C9" w:rsidRDefault="00D075C9" w:rsidP="00D075C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Транзакцияны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тарату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Ол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желідегі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түйіндерге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жіберіледі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40B8A268" w14:textId="77777777" w:rsidR="00D075C9" w:rsidRPr="00D075C9" w:rsidRDefault="00D075C9" w:rsidP="00D075C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Транзакцияны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Консенсус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механизмі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жүргізіледі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063B4308" w14:textId="77777777" w:rsidR="00D075C9" w:rsidRPr="00D075C9" w:rsidRDefault="00D075C9" w:rsidP="00D075C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блоктың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құрылуы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Егер транзакция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заңды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ол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блокқа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қосылады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2A8735D1" w14:textId="77777777" w:rsidR="00D075C9" w:rsidRPr="00D075C9" w:rsidRDefault="00D075C9" w:rsidP="00D075C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lastRenderedPageBreak/>
        <w:t>Блокчейнге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қосу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блок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бекітіліп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блокчейн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тізбегіне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енеді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20285756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3.2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Транзакциялардың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орындалу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уақыты</w:t>
      </w:r>
      <w:proofErr w:type="spellEnd"/>
    </w:p>
    <w:p w14:paraId="46AB51DD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075C9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желісінің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жұмысы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тиімділігіне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блок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аралығында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жасалады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:</w:t>
      </w:r>
    </w:p>
    <w:p w14:paraId="35705A09" w14:textId="77777777" w:rsidR="00D075C9" w:rsidRPr="00D075C9" w:rsidRDefault="00D075C9" w:rsidP="00D075C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10 минут.</w:t>
      </w:r>
    </w:p>
    <w:p w14:paraId="323AE170" w14:textId="77777777" w:rsidR="00D075C9" w:rsidRPr="00D075C9" w:rsidRDefault="00D075C9" w:rsidP="00D075C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Ethereum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15 секунд.</w:t>
      </w:r>
    </w:p>
    <w:p w14:paraId="17E75B2F" w14:textId="77777777" w:rsidR="00D075C9" w:rsidRPr="00D075C9" w:rsidRDefault="00D075C9" w:rsidP="00D075C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Solana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1-2 секунд.</w:t>
      </w:r>
    </w:p>
    <w:p w14:paraId="21A1D738" w14:textId="714DE94B" w:rsidR="00D075C9" w:rsidRPr="00D075C9" w:rsidRDefault="00D075C9" w:rsidP="00D075C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8CA3B36" w14:textId="77777777" w:rsidR="00D075C9" w:rsidRPr="00D075C9" w:rsidRDefault="00D075C9" w:rsidP="00D075C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>4. БЛОКЧЕЙН ҚҰРАСТЫРУ ӘДІСТЕРІ</w:t>
      </w:r>
    </w:p>
    <w:p w14:paraId="614E657A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szCs w:val="28"/>
          <w:lang w:eastAsia="ru-RU"/>
        </w:rPr>
        <w:t>Блокчейнді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қадамдарды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орындау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:</w:t>
      </w:r>
    </w:p>
    <w:p w14:paraId="1797D184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4.1 Блокчейн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желісін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</w:p>
    <w:p w14:paraId="364D606A" w14:textId="77777777" w:rsidR="00D075C9" w:rsidRPr="00D075C9" w:rsidRDefault="00D075C9" w:rsidP="00D075C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Қоғамдық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(Public) блокчейн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желі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қатыса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Ethereum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).</w:t>
      </w:r>
    </w:p>
    <w:p w14:paraId="51788378" w14:textId="77777777" w:rsidR="00D075C9" w:rsidRPr="00D075C9" w:rsidRDefault="00D075C9" w:rsidP="00D075C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>Жеке (Private) блокчейн</w:t>
      </w:r>
      <w:r w:rsidRPr="00D075C9">
        <w:rPr>
          <w:rFonts w:eastAsia="Times New Roman" w:cs="Times New Roman"/>
          <w:szCs w:val="28"/>
          <w:lang w:eastAsia="ru-RU"/>
        </w:rPr>
        <w:t xml:space="preserve"> – Тек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рұқсат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етілген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қатысушыларға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қолжетімді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Hyperledger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Quorum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).</w:t>
      </w:r>
    </w:p>
    <w:p w14:paraId="17587EF1" w14:textId="77777777" w:rsidR="00D075C9" w:rsidRPr="00D075C9" w:rsidRDefault="00D075C9" w:rsidP="00D075C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Гибридті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(Hybrid) блокчейн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мүмкіндіктерін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біріктіреді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390AB00E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4.2 Блок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құрылымын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</w:p>
    <w:p w14:paraId="6A10CE05" w14:textId="77777777" w:rsidR="00D075C9" w:rsidRPr="00D075C9" w:rsidRDefault="00D075C9" w:rsidP="00D075C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szCs w:val="28"/>
          <w:lang w:eastAsia="ru-RU"/>
        </w:rPr>
        <w:t>Блоктардың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максималды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көлемін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орнату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21BC73DB" w14:textId="77777777" w:rsidR="00D075C9" w:rsidRPr="00D075C9" w:rsidRDefault="00D075C9" w:rsidP="00D075C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075C9">
        <w:rPr>
          <w:rFonts w:eastAsia="Times New Roman" w:cs="Times New Roman"/>
          <w:szCs w:val="28"/>
          <w:lang w:eastAsia="ru-RU"/>
        </w:rPr>
        <w:t xml:space="preserve">Транзакция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жылдамдығын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55B54A76" w14:textId="77777777" w:rsidR="00D075C9" w:rsidRPr="00D075C9" w:rsidRDefault="00D075C9" w:rsidP="00D075C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шараларын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26F669A9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4.3 Консенсус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механизмін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</w:p>
    <w:p w14:paraId="5640353C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szCs w:val="28"/>
          <w:lang w:eastAsia="ru-RU"/>
        </w:rPr>
        <w:t>Қажеттілікке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қарай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PoW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PoS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басқа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механизмдерді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78472B84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>4.4 Смарт-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келісімшарттарды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</w:p>
    <w:p w14:paraId="5D5D564C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szCs w:val="28"/>
          <w:lang w:eastAsia="ru-RU"/>
        </w:rPr>
        <w:t>Ethereum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Binance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Smart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Chain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блокчейндерде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r w:rsidRPr="00D075C9">
        <w:rPr>
          <w:rFonts w:eastAsia="Times New Roman" w:cs="Times New Roman"/>
          <w:b/>
          <w:bCs/>
          <w:szCs w:val="28"/>
          <w:lang w:eastAsia="ru-RU"/>
        </w:rPr>
        <w:t>смарт-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келісімшарттарды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қосу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бар.</w:t>
      </w:r>
    </w:p>
    <w:p w14:paraId="60C47873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4.5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масштабтау</w:t>
      </w:r>
      <w:proofErr w:type="spellEnd"/>
    </w:p>
    <w:p w14:paraId="6C4DC19F" w14:textId="77777777" w:rsidR="00D075C9" w:rsidRPr="00D075C9" w:rsidRDefault="00D075C9" w:rsidP="00D075C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Шифрлау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Encryption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Деректердің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қорғалуын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7E09D589" w14:textId="77777777" w:rsidR="00D075C9" w:rsidRPr="00D075C9" w:rsidRDefault="00D075C9" w:rsidP="00D075C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Масштабтау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шешімдері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– Layer 2,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Sharding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5A51F4CF" w14:textId="2364E911" w:rsidR="00D075C9" w:rsidRPr="00D075C9" w:rsidRDefault="00D075C9" w:rsidP="00D075C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52995C6" w14:textId="77777777" w:rsidR="00D075C9" w:rsidRPr="00D075C9" w:rsidRDefault="00D075C9" w:rsidP="00D075C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lastRenderedPageBreak/>
        <w:t>5. БЛОКЧЕЙН ҚОЛДАНЫЛУ АЙМАҚТАРЫ</w:t>
      </w:r>
    </w:p>
    <w:p w14:paraId="776387F8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075C9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технологиясы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075C9" w:rsidRPr="00D075C9" w14:paraId="7AAD6BD0" w14:textId="77777777" w:rsidTr="00397DC3">
        <w:tc>
          <w:tcPr>
            <w:tcW w:w="4672" w:type="dxa"/>
            <w:vAlign w:val="center"/>
          </w:tcPr>
          <w:p w14:paraId="16F32D01" w14:textId="787DBF9B" w:rsidR="00D075C9" w:rsidRPr="00D075C9" w:rsidRDefault="00D075C9" w:rsidP="00D075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Сала</w:t>
            </w:r>
          </w:p>
        </w:tc>
        <w:tc>
          <w:tcPr>
            <w:tcW w:w="4672" w:type="dxa"/>
            <w:vAlign w:val="center"/>
          </w:tcPr>
          <w:p w14:paraId="0A1249FF" w14:textId="0B2C8F94" w:rsidR="00D075C9" w:rsidRPr="00D075C9" w:rsidRDefault="00D075C9" w:rsidP="00D075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Қолдану</w:t>
            </w:r>
            <w:proofErr w:type="spellEnd"/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>мысалы</w:t>
            </w:r>
            <w:proofErr w:type="spellEnd"/>
          </w:p>
        </w:tc>
      </w:tr>
      <w:tr w:rsidR="00D075C9" w:rsidRPr="00D075C9" w14:paraId="1A2E05FD" w14:textId="77777777" w:rsidTr="00397DC3">
        <w:tc>
          <w:tcPr>
            <w:tcW w:w="4672" w:type="dxa"/>
            <w:vAlign w:val="center"/>
          </w:tcPr>
          <w:p w14:paraId="6A0E02E5" w14:textId="478CD464" w:rsidR="00D075C9" w:rsidRPr="00D075C9" w:rsidRDefault="00D075C9" w:rsidP="00D075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Қаржы</w:t>
            </w:r>
            <w:proofErr w:type="spellEnd"/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</w:t>
            </w:r>
            <w:proofErr w:type="spellStart"/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>Fintech</w:t>
            </w:r>
            <w:proofErr w:type="spellEnd"/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4672" w:type="dxa"/>
            <w:vAlign w:val="center"/>
          </w:tcPr>
          <w:p w14:paraId="3692009B" w14:textId="00BCDFF1" w:rsidR="00D075C9" w:rsidRPr="00D075C9" w:rsidRDefault="00D075C9" w:rsidP="00D075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Криптовалюталар</w:t>
            </w:r>
            <w:proofErr w:type="spellEnd"/>
            <w:r w:rsidRPr="00D075C9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ақылды</w:t>
            </w:r>
            <w:proofErr w:type="spellEnd"/>
            <w:r w:rsidRPr="00D075C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келісімшарттар</w:t>
            </w:r>
            <w:proofErr w:type="spellEnd"/>
          </w:p>
        </w:tc>
      </w:tr>
      <w:tr w:rsidR="00D075C9" w:rsidRPr="00D075C9" w14:paraId="4CCC1A05" w14:textId="77777777" w:rsidTr="00397DC3">
        <w:tc>
          <w:tcPr>
            <w:tcW w:w="4672" w:type="dxa"/>
            <w:vAlign w:val="center"/>
          </w:tcPr>
          <w:p w14:paraId="72A87FEB" w14:textId="68E7CB55" w:rsidR="00D075C9" w:rsidRPr="00D075C9" w:rsidRDefault="00D075C9" w:rsidP="00D075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>Логистика</w:t>
            </w:r>
          </w:p>
        </w:tc>
        <w:tc>
          <w:tcPr>
            <w:tcW w:w="4672" w:type="dxa"/>
            <w:vAlign w:val="center"/>
          </w:tcPr>
          <w:p w14:paraId="45403F60" w14:textId="1F707138" w:rsidR="00D075C9" w:rsidRPr="00D075C9" w:rsidRDefault="00D075C9" w:rsidP="00D075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Жүктерді</w:t>
            </w:r>
            <w:proofErr w:type="spellEnd"/>
            <w:r w:rsidRPr="00D075C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бақылау</w:t>
            </w:r>
            <w:proofErr w:type="spellEnd"/>
            <w:r w:rsidRPr="00D075C9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жеткізілімдерді</w:t>
            </w:r>
            <w:proofErr w:type="spellEnd"/>
            <w:r w:rsidRPr="00D075C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тіркеу</w:t>
            </w:r>
            <w:proofErr w:type="spellEnd"/>
          </w:p>
        </w:tc>
      </w:tr>
      <w:tr w:rsidR="00D075C9" w:rsidRPr="00D075C9" w14:paraId="0C1E02C5" w14:textId="77777777" w:rsidTr="00397DC3">
        <w:tc>
          <w:tcPr>
            <w:tcW w:w="4672" w:type="dxa"/>
            <w:vAlign w:val="center"/>
          </w:tcPr>
          <w:p w14:paraId="4D0F0AFB" w14:textId="37B44185" w:rsidR="00D075C9" w:rsidRPr="00D075C9" w:rsidRDefault="00D075C9" w:rsidP="00D075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Медицина</w:t>
            </w:r>
          </w:p>
        </w:tc>
        <w:tc>
          <w:tcPr>
            <w:tcW w:w="4672" w:type="dxa"/>
            <w:vAlign w:val="center"/>
          </w:tcPr>
          <w:p w14:paraId="55251EDE" w14:textId="19424C6F" w:rsidR="00D075C9" w:rsidRPr="00D075C9" w:rsidRDefault="00D075C9" w:rsidP="00D075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Пациенттердің</w:t>
            </w:r>
            <w:proofErr w:type="spellEnd"/>
            <w:r w:rsidRPr="00D075C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деректерін</w:t>
            </w:r>
            <w:proofErr w:type="spellEnd"/>
            <w:r w:rsidRPr="00D075C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сақтау</w:t>
            </w:r>
            <w:proofErr w:type="spellEnd"/>
          </w:p>
        </w:tc>
      </w:tr>
      <w:tr w:rsidR="00D075C9" w:rsidRPr="00D075C9" w14:paraId="4970C587" w14:textId="77777777" w:rsidTr="00397DC3">
        <w:tc>
          <w:tcPr>
            <w:tcW w:w="4672" w:type="dxa"/>
            <w:vAlign w:val="center"/>
          </w:tcPr>
          <w:p w14:paraId="765CE40E" w14:textId="1F7AEBE2" w:rsidR="00D075C9" w:rsidRPr="00D075C9" w:rsidRDefault="00D075C9" w:rsidP="00D075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Мемлекеттік</w:t>
            </w:r>
            <w:proofErr w:type="spellEnd"/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сектор</w:t>
            </w:r>
          </w:p>
        </w:tc>
        <w:tc>
          <w:tcPr>
            <w:tcW w:w="4672" w:type="dxa"/>
            <w:vAlign w:val="center"/>
          </w:tcPr>
          <w:p w14:paraId="64A5D888" w14:textId="49B8015C" w:rsidR="00D075C9" w:rsidRPr="00D075C9" w:rsidRDefault="00D075C9" w:rsidP="00D075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Цифрлық</w:t>
            </w:r>
            <w:proofErr w:type="spellEnd"/>
            <w:r w:rsidRPr="00D075C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құжаттарды</w:t>
            </w:r>
            <w:proofErr w:type="spellEnd"/>
            <w:r w:rsidRPr="00D075C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басқару</w:t>
            </w:r>
            <w:proofErr w:type="spellEnd"/>
          </w:p>
        </w:tc>
      </w:tr>
      <w:tr w:rsidR="00D075C9" w:rsidRPr="00D075C9" w14:paraId="2713654F" w14:textId="77777777" w:rsidTr="00397DC3">
        <w:tc>
          <w:tcPr>
            <w:tcW w:w="4672" w:type="dxa"/>
            <w:vAlign w:val="center"/>
          </w:tcPr>
          <w:p w14:paraId="0656AA02" w14:textId="33191278" w:rsidR="00D075C9" w:rsidRPr="00D075C9" w:rsidRDefault="00D075C9" w:rsidP="00D075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>Білім</w:t>
            </w:r>
            <w:proofErr w:type="spellEnd"/>
            <w:r w:rsidRPr="00D075C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беру</w:t>
            </w:r>
          </w:p>
        </w:tc>
        <w:tc>
          <w:tcPr>
            <w:tcW w:w="4672" w:type="dxa"/>
            <w:vAlign w:val="center"/>
          </w:tcPr>
          <w:p w14:paraId="45C4B9A9" w14:textId="63E65C95" w:rsidR="00D075C9" w:rsidRPr="00D075C9" w:rsidRDefault="00D075C9" w:rsidP="00D075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Дипломдар</w:t>
            </w:r>
            <w:proofErr w:type="spellEnd"/>
            <w:r w:rsidRPr="00D075C9">
              <w:rPr>
                <w:rFonts w:eastAsia="Times New Roman" w:cs="Times New Roman"/>
                <w:szCs w:val="28"/>
                <w:lang w:eastAsia="ru-RU"/>
              </w:rPr>
              <w:t xml:space="preserve"> мен </w:t>
            </w: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сертификаттарды</w:t>
            </w:r>
            <w:proofErr w:type="spellEnd"/>
            <w:r w:rsidRPr="00D075C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075C9">
              <w:rPr>
                <w:rFonts w:eastAsia="Times New Roman" w:cs="Times New Roman"/>
                <w:szCs w:val="28"/>
                <w:lang w:eastAsia="ru-RU"/>
              </w:rPr>
              <w:t>растау</w:t>
            </w:r>
            <w:proofErr w:type="spellEnd"/>
          </w:p>
        </w:tc>
      </w:tr>
    </w:tbl>
    <w:p w14:paraId="29035801" w14:textId="77777777" w:rsidR="00D075C9" w:rsidRPr="00D075C9" w:rsidRDefault="00D075C9" w:rsidP="00D075C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5F221744" w14:textId="549E2BF6" w:rsidR="00D075C9" w:rsidRPr="00D075C9" w:rsidRDefault="00D075C9" w:rsidP="00D075C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A87B62E" w14:textId="77777777" w:rsidR="00D075C9" w:rsidRPr="00D075C9" w:rsidRDefault="00D075C9" w:rsidP="00D075C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39E3877C" w14:textId="177ABBEA" w:rsidR="00D075C9" w:rsidRPr="00D075C9" w:rsidRDefault="00D075C9" w:rsidP="00D075C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>6. БОЛАШАҚТАҒЫ ДАМУ ТРЕНДТЕРІ</w:t>
      </w:r>
    </w:p>
    <w:p w14:paraId="68D17C95" w14:textId="77777777" w:rsidR="00D075C9" w:rsidRPr="00D075C9" w:rsidRDefault="00D075C9" w:rsidP="00D075C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Web3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децентрализденген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қосымшалар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DApps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47A5467B" w14:textId="77777777" w:rsidR="00D075C9" w:rsidRPr="00D075C9" w:rsidRDefault="00D075C9" w:rsidP="00D075C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D075C9">
        <w:rPr>
          <w:rFonts w:eastAsia="Times New Roman" w:cs="Times New Roman"/>
          <w:b/>
          <w:bCs/>
          <w:szCs w:val="28"/>
          <w:lang w:val="en-US" w:eastAsia="ru-RU"/>
        </w:rPr>
        <w:t xml:space="preserve">Layer 2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шешімдері</w:t>
      </w:r>
      <w:proofErr w:type="spellEnd"/>
      <w:r w:rsidRPr="00D075C9">
        <w:rPr>
          <w:rFonts w:eastAsia="Times New Roman" w:cs="Times New Roman"/>
          <w:b/>
          <w:bCs/>
          <w:szCs w:val="28"/>
          <w:lang w:val="en-US" w:eastAsia="ru-RU"/>
        </w:rPr>
        <w:t xml:space="preserve"> (Lightning Network, Optimistic Rollups)</w:t>
      </w:r>
    </w:p>
    <w:p w14:paraId="2A8DBB2B" w14:textId="77777777" w:rsidR="00D075C9" w:rsidRPr="00D075C9" w:rsidRDefault="00D075C9" w:rsidP="00D075C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интеллект пен блокчейн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интеграциясы</w:t>
      </w:r>
      <w:proofErr w:type="spellEnd"/>
    </w:p>
    <w:p w14:paraId="1A523C56" w14:textId="77777777" w:rsidR="00D075C9" w:rsidRPr="00D075C9" w:rsidRDefault="00D075C9" w:rsidP="00D075C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Жасыл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блокчейн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технологиялары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Proof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-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of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>-Green)</w:t>
      </w:r>
    </w:p>
    <w:p w14:paraId="5FE16F4E" w14:textId="654C40DA" w:rsidR="00D075C9" w:rsidRPr="00D075C9" w:rsidRDefault="00D075C9" w:rsidP="00D075C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677E8C9" w14:textId="77777777" w:rsidR="00D075C9" w:rsidRPr="00D075C9" w:rsidRDefault="00D075C9" w:rsidP="00D075C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>7. ҚОРЫТЫНДЫ</w:t>
      </w:r>
    </w:p>
    <w:p w14:paraId="212A64FA" w14:textId="77777777" w:rsidR="00D075C9" w:rsidRPr="00D075C9" w:rsidRDefault="00D075C9" w:rsidP="00D075C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>Блокчейн</w:t>
      </w:r>
      <w:r w:rsidRPr="00D075C9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қауіпсіз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орталықсыздандырылған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сенімді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технология.</w:t>
      </w:r>
    </w:p>
    <w:p w14:paraId="72708B42" w14:textId="77777777" w:rsidR="00D075C9" w:rsidRPr="00D075C9" w:rsidRDefault="00D075C9" w:rsidP="00D075C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Құрылымы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блоктар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түйіндер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хэштеу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консенсус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механизмдерінен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629B44E8" w14:textId="77777777" w:rsidR="00D075C9" w:rsidRPr="00D075C9" w:rsidRDefault="00D075C9" w:rsidP="00D075C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аясы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кең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қаржыдан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медицинаға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жетеді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79AF61B4" w14:textId="77777777" w:rsidR="00D075C9" w:rsidRPr="00D075C9" w:rsidRDefault="00D075C9" w:rsidP="00D075C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Болашақта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блокчейн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технологиясы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деңгейге</w:t>
      </w:r>
      <w:proofErr w:type="spellEnd"/>
      <w:r w:rsidRPr="00D075C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b/>
          <w:bCs/>
          <w:szCs w:val="28"/>
          <w:lang w:eastAsia="ru-RU"/>
        </w:rPr>
        <w:t>көтеріледі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, Web3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интеллектпен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бірігеді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.</w:t>
      </w:r>
    </w:p>
    <w:p w14:paraId="58442608" w14:textId="3960E0D5" w:rsidR="00D075C9" w:rsidRPr="00D075C9" w:rsidRDefault="00D075C9" w:rsidP="00D075C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973F39F" w14:textId="77777777" w:rsidR="00D075C9" w:rsidRPr="00D075C9" w:rsidRDefault="00D075C9" w:rsidP="00D075C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075C9">
        <w:rPr>
          <w:rFonts w:eastAsia="Times New Roman" w:cs="Times New Roman"/>
          <w:b/>
          <w:bCs/>
          <w:szCs w:val="28"/>
          <w:lang w:eastAsia="ru-RU"/>
        </w:rPr>
        <w:t>8. ТАЛҚЫЛАУ СҰРАҚТАРЫ</w:t>
      </w:r>
    </w:p>
    <w:p w14:paraId="0055F820" w14:textId="77777777" w:rsidR="00D075C9" w:rsidRPr="00D075C9" w:rsidRDefault="00D075C9" w:rsidP="00D075C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компоненттері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?</w:t>
      </w:r>
    </w:p>
    <w:p w14:paraId="7D1CA389" w14:textId="77777777" w:rsidR="00D075C9" w:rsidRPr="00D075C9" w:rsidRDefault="00D075C9" w:rsidP="00D075C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075C9">
        <w:rPr>
          <w:rFonts w:eastAsia="Times New Roman" w:cs="Times New Roman"/>
          <w:szCs w:val="28"/>
          <w:lang w:eastAsia="ru-RU"/>
        </w:rPr>
        <w:t xml:space="preserve">Консенсус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механизмдерінің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айырмашылықтары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неде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?</w:t>
      </w:r>
    </w:p>
    <w:p w14:paraId="4EBABCA6" w14:textId="77777777" w:rsidR="00D075C9" w:rsidRPr="00D075C9" w:rsidRDefault="00D075C9" w:rsidP="00D075C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075C9">
        <w:rPr>
          <w:rFonts w:eastAsia="Times New Roman" w:cs="Times New Roman"/>
          <w:szCs w:val="28"/>
          <w:lang w:eastAsia="ru-RU"/>
        </w:rPr>
        <w:t>Блокчейнді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қолдануға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075C9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D075C9">
        <w:rPr>
          <w:rFonts w:eastAsia="Times New Roman" w:cs="Times New Roman"/>
          <w:szCs w:val="28"/>
          <w:lang w:eastAsia="ru-RU"/>
        </w:rPr>
        <w:t>?</w:t>
      </w:r>
    </w:p>
    <w:p w14:paraId="47A50344" w14:textId="77777777" w:rsidR="00F12C76" w:rsidRPr="00D075C9" w:rsidRDefault="00F12C76" w:rsidP="00D075C9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D075C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00F7"/>
    <w:multiLevelType w:val="multilevel"/>
    <w:tmpl w:val="6C6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538C4"/>
    <w:multiLevelType w:val="multilevel"/>
    <w:tmpl w:val="10A2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52C2B"/>
    <w:multiLevelType w:val="multilevel"/>
    <w:tmpl w:val="506E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95483"/>
    <w:multiLevelType w:val="multilevel"/>
    <w:tmpl w:val="FE28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D47C7"/>
    <w:multiLevelType w:val="multilevel"/>
    <w:tmpl w:val="B5C6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24D4A"/>
    <w:multiLevelType w:val="multilevel"/>
    <w:tmpl w:val="C61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50DCB"/>
    <w:multiLevelType w:val="multilevel"/>
    <w:tmpl w:val="CA44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92718"/>
    <w:multiLevelType w:val="multilevel"/>
    <w:tmpl w:val="FF0E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A1D32"/>
    <w:multiLevelType w:val="multilevel"/>
    <w:tmpl w:val="72E8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4272A"/>
    <w:multiLevelType w:val="multilevel"/>
    <w:tmpl w:val="5524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827CC"/>
    <w:multiLevelType w:val="multilevel"/>
    <w:tmpl w:val="1370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54620E"/>
    <w:multiLevelType w:val="multilevel"/>
    <w:tmpl w:val="F89E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443447">
    <w:abstractNumId w:val="11"/>
  </w:num>
  <w:num w:numId="2" w16cid:durableId="1379892405">
    <w:abstractNumId w:val="2"/>
  </w:num>
  <w:num w:numId="3" w16cid:durableId="2134471846">
    <w:abstractNumId w:val="10"/>
  </w:num>
  <w:num w:numId="4" w16cid:durableId="1886746047">
    <w:abstractNumId w:val="6"/>
  </w:num>
  <w:num w:numId="5" w16cid:durableId="1733382467">
    <w:abstractNumId w:val="9"/>
  </w:num>
  <w:num w:numId="6" w16cid:durableId="2102287501">
    <w:abstractNumId w:val="0"/>
  </w:num>
  <w:num w:numId="7" w16cid:durableId="1822962453">
    <w:abstractNumId w:val="4"/>
  </w:num>
  <w:num w:numId="8" w16cid:durableId="1220241844">
    <w:abstractNumId w:val="8"/>
  </w:num>
  <w:num w:numId="9" w16cid:durableId="957953505">
    <w:abstractNumId w:val="5"/>
  </w:num>
  <w:num w:numId="10" w16cid:durableId="710572599">
    <w:abstractNumId w:val="7"/>
  </w:num>
  <w:num w:numId="11" w16cid:durableId="2134054788">
    <w:abstractNumId w:val="3"/>
  </w:num>
  <w:num w:numId="12" w16cid:durableId="1515417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7C"/>
    <w:rsid w:val="003F0AB8"/>
    <w:rsid w:val="006C0B77"/>
    <w:rsid w:val="007A317C"/>
    <w:rsid w:val="008242FF"/>
    <w:rsid w:val="00870751"/>
    <w:rsid w:val="00922C48"/>
    <w:rsid w:val="00B915B7"/>
    <w:rsid w:val="00D075C9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ECF5"/>
  <w15:chartTrackingRefBased/>
  <w15:docId w15:val="{9CEBAF76-80DB-4F50-BAB4-604E814C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3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1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1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1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1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1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1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17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317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31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31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31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31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3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3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1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3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3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317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31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317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31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317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317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D07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2025-02-24T20:40:00Z</dcterms:created>
  <dcterms:modified xsi:type="dcterms:W3CDTF">2025-02-24T20:41:00Z</dcterms:modified>
</cp:coreProperties>
</file>