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BCA3" w14:textId="77777777" w:rsidR="000449A4" w:rsidRPr="000449A4" w:rsidRDefault="000449A4" w:rsidP="000449A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</w:p>
    <w:p w14:paraId="43856652" w14:textId="77777777" w:rsidR="000449A4" w:rsidRPr="000449A4" w:rsidRDefault="000449A4" w:rsidP="000449A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6FB33EF6" w14:textId="77777777" w:rsidR="000449A4" w:rsidRPr="000449A4" w:rsidRDefault="000449A4" w:rsidP="000449A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жетістігі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факторлардың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өнімділігі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табу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операциялық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үдерісін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пайдалануға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бәсекелестікте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алға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шығуға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4A836824" w14:textId="77777777" w:rsidR="000449A4" w:rsidRPr="000449A4" w:rsidRDefault="000449A4" w:rsidP="000449A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бағалаудың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маңыздылығы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тигізетін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әсері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2E3F01D3" w14:textId="1822E06E" w:rsidR="000449A4" w:rsidRPr="000449A4" w:rsidRDefault="000449A4" w:rsidP="000449A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235BFD6" w14:textId="77777777" w:rsidR="000449A4" w:rsidRPr="000449A4" w:rsidRDefault="000449A4" w:rsidP="000449A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бағалаудың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230D59D3" w14:textId="77777777" w:rsidR="000449A4" w:rsidRPr="000449A4" w:rsidRDefault="000449A4" w:rsidP="000449A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міндеттерді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шешуге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:</w:t>
      </w:r>
    </w:p>
    <w:p w14:paraId="523BA867" w14:textId="77777777" w:rsidR="000449A4" w:rsidRPr="000449A4" w:rsidRDefault="000449A4" w:rsidP="000449A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55B84C76" w14:textId="77777777" w:rsidR="000449A4" w:rsidRPr="000449A4" w:rsidRDefault="000449A4" w:rsidP="000449A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оңтайлы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адам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ресурстары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көрсеткіштердің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1A5A2AEE" w14:textId="77777777" w:rsidR="000449A4" w:rsidRPr="000449A4" w:rsidRDefault="000449A4" w:rsidP="000449A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Қателіктер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кемшіліктерді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процестердегі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проблемалық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табу.</w:t>
      </w:r>
    </w:p>
    <w:p w14:paraId="102D9AB2" w14:textId="77777777" w:rsidR="000449A4" w:rsidRPr="000449A4" w:rsidRDefault="000449A4" w:rsidP="000449A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стандарттау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ішіндегі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операцияларды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біріздендіру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оңтайлы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409454EA" w14:textId="77777777" w:rsidR="000449A4" w:rsidRPr="000449A4" w:rsidRDefault="000449A4" w:rsidP="000449A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қабілеттілікті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нарықтық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икемді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бейімделу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дамуын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158A5BF8" w14:textId="01FB135F" w:rsidR="000449A4" w:rsidRPr="000449A4" w:rsidRDefault="000449A4" w:rsidP="000449A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7F6ED17" w14:textId="77777777" w:rsidR="000449A4" w:rsidRPr="000449A4" w:rsidRDefault="000449A4" w:rsidP="000449A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көрсеткіштері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(KPI)</w:t>
      </w:r>
    </w:p>
    <w:p w14:paraId="56F28DCE" w14:textId="77777777" w:rsidR="000449A4" w:rsidRPr="000449A4" w:rsidRDefault="000449A4" w:rsidP="000449A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KPI (Key Performance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Indicators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)</w:t>
      </w:r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. KPI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стратегиялық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мақсаттарына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таңдалады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көрсеткіштерден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:</w:t>
      </w:r>
    </w:p>
    <w:p w14:paraId="3236FAD1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көрсеткіштер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240FBBF" w14:textId="77777777" w:rsidR="000449A4" w:rsidRPr="000449A4" w:rsidRDefault="000449A4" w:rsidP="000449A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Түсім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Revenue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)</w:t>
      </w:r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кіріс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мөлшерін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12067D5F" w14:textId="77777777" w:rsidR="000449A4" w:rsidRPr="000449A4" w:rsidRDefault="000449A4" w:rsidP="000449A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шығындар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Operational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Costs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)</w:t>
      </w:r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жұмсалған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1E0454B9" w14:textId="77777777" w:rsidR="000449A4" w:rsidRPr="000449A4" w:rsidRDefault="000449A4" w:rsidP="000449A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lastRenderedPageBreak/>
        <w:t>Рентабельділік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Profitability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)</w:t>
      </w:r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табыстың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шығындарға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қатынасын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2732F1F5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тиімділік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көрсеткіштері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879190C" w14:textId="77777777" w:rsidR="000449A4" w:rsidRPr="000449A4" w:rsidRDefault="000449A4" w:rsidP="000449A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орындалу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(Process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Cycle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Time)</w:t>
      </w:r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тапсырманың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басталуынан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аяқталуына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дейінгі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08C2C16C" w14:textId="77777777" w:rsidR="000449A4" w:rsidRPr="000449A4" w:rsidRDefault="000449A4" w:rsidP="000449A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операциялардың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саны</w:t>
      </w:r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стандартталған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процестердегі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қайталауларды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3282FA77" w14:textId="77777777" w:rsidR="000449A4" w:rsidRPr="000449A4" w:rsidRDefault="000449A4" w:rsidP="000449A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Өнімділік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Productivity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Rate)</w:t>
      </w:r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өндірістің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көлемінің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артуы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65CF83D7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Тұтынушы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қанағаттанушылығы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көрсеткіштері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501BC6D" w14:textId="77777777" w:rsidR="000449A4" w:rsidRPr="000449A4" w:rsidRDefault="000449A4" w:rsidP="000449A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Клиенттердің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қанағаттану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деңгейі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(Customer Satisfaction Score, CSAT)</w:t>
      </w:r>
      <w:r w:rsidRPr="000449A4">
        <w:rPr>
          <w:rFonts w:eastAsia="Times New Roman" w:cs="Times New Roman"/>
          <w:szCs w:val="28"/>
          <w:lang w:val="en-US" w:eastAsia="ru-RU"/>
        </w:rPr>
        <w:t>.</w:t>
      </w:r>
    </w:p>
    <w:p w14:paraId="0EA67BF7" w14:textId="77777777" w:rsidR="000449A4" w:rsidRPr="000449A4" w:rsidRDefault="000449A4" w:rsidP="000449A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Негативті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пікірлердің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пайызы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(Negative Feedback Rate)</w:t>
      </w:r>
      <w:r w:rsidRPr="000449A4">
        <w:rPr>
          <w:rFonts w:eastAsia="Times New Roman" w:cs="Times New Roman"/>
          <w:szCs w:val="28"/>
          <w:lang w:val="en-US" w:eastAsia="ru-RU"/>
        </w:rPr>
        <w:t>.</w:t>
      </w:r>
    </w:p>
    <w:p w14:paraId="23EE6875" w14:textId="77777777" w:rsidR="000449A4" w:rsidRPr="000449A4" w:rsidRDefault="000449A4" w:rsidP="000449A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Клиенттерді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ұстап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қалу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деңгейі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(Customer Retention Rate)</w:t>
      </w:r>
      <w:r w:rsidRPr="000449A4">
        <w:rPr>
          <w:rFonts w:eastAsia="Times New Roman" w:cs="Times New Roman"/>
          <w:szCs w:val="28"/>
          <w:lang w:val="en-US" w:eastAsia="ru-RU"/>
        </w:rPr>
        <w:t>.</w:t>
      </w:r>
    </w:p>
    <w:p w14:paraId="0C2A0D0D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Қызметкерлердің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тиімділігі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4435635" w14:textId="77777777" w:rsidR="000449A4" w:rsidRPr="000449A4" w:rsidRDefault="000449A4" w:rsidP="000449A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Жұмысқа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деген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қанағаттанушылық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деңгейі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кадрлардың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тұрақтылығын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664F08B7" w14:textId="77777777" w:rsidR="000449A4" w:rsidRPr="000449A4" w:rsidRDefault="000449A4" w:rsidP="000449A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орындалу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сапасы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(Work Quality Index)</w:t>
      </w:r>
      <w:r w:rsidRPr="000449A4">
        <w:rPr>
          <w:rFonts w:eastAsia="Times New Roman" w:cs="Times New Roman"/>
          <w:szCs w:val="28"/>
          <w:lang w:val="en-US" w:eastAsia="ru-RU"/>
        </w:rPr>
        <w:t>.</w:t>
      </w:r>
    </w:p>
    <w:p w14:paraId="010E500B" w14:textId="77777777" w:rsidR="000449A4" w:rsidRPr="000449A4" w:rsidRDefault="000449A4" w:rsidP="000449A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Орташа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өнімділік</w:t>
      </w:r>
      <w:proofErr w:type="spellEnd"/>
      <w:r w:rsidRPr="000449A4">
        <w:rPr>
          <w:rFonts w:eastAsia="Times New Roman" w:cs="Times New Roman"/>
          <w:b/>
          <w:bCs/>
          <w:szCs w:val="28"/>
          <w:lang w:val="en-US" w:eastAsia="ru-RU"/>
        </w:rPr>
        <w:t xml:space="preserve"> (Average Task Completion Rate)</w:t>
      </w:r>
      <w:r w:rsidRPr="000449A4">
        <w:rPr>
          <w:rFonts w:eastAsia="Times New Roman" w:cs="Times New Roman"/>
          <w:szCs w:val="28"/>
          <w:lang w:val="en-US" w:eastAsia="ru-RU"/>
        </w:rPr>
        <w:t>.</w:t>
      </w:r>
    </w:p>
    <w:p w14:paraId="1D215744" w14:textId="45CDC493" w:rsidR="000449A4" w:rsidRPr="000449A4" w:rsidRDefault="000449A4" w:rsidP="000449A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31D980F" w14:textId="77777777" w:rsidR="000449A4" w:rsidRPr="000449A4" w:rsidRDefault="000449A4" w:rsidP="000449A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>3. Бизнес-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415F39F3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мониторингтеу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7D3EEDD6" w14:textId="77777777" w:rsidR="000449A4" w:rsidRPr="000449A4" w:rsidRDefault="000449A4" w:rsidP="000449A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BI (Business Intelligence)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Power BI,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Tableau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Google Data Studio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уақыттағы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көрсеткіштерді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72372912" w14:textId="77777777" w:rsidR="000449A4" w:rsidRPr="000449A4" w:rsidRDefault="000449A4" w:rsidP="000449A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ERP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SAP, Oracle ERP, 1C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жүйелер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492F7AF8" w14:textId="77777777" w:rsidR="000449A4" w:rsidRPr="000449A4" w:rsidRDefault="000449A4" w:rsidP="000449A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интеллект пен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болжамды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болашақтағы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өзгерістерді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AI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алгоритмдерін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3D8D576F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3.2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</w:p>
    <w:p w14:paraId="726000E8" w14:textId="77777777" w:rsidR="000449A4" w:rsidRPr="000449A4" w:rsidRDefault="000449A4" w:rsidP="000449A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BPMN (Business Process Model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Notation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>)</w:t>
      </w:r>
      <w:r w:rsidRPr="000449A4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диаграмма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түрінде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бейнелеу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680FBE56" w14:textId="77777777" w:rsidR="000449A4" w:rsidRPr="000449A4" w:rsidRDefault="000449A4" w:rsidP="000449A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Flowchart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SIPOC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диаграммалары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3F05E566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3.3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Six Sigma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603E5311" w14:textId="77777777" w:rsidR="000449A4" w:rsidRPr="000449A4" w:rsidRDefault="000449A4" w:rsidP="000449A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5205AB49" w14:textId="77777777" w:rsidR="000449A4" w:rsidRPr="000449A4" w:rsidRDefault="000449A4" w:rsidP="000449A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>Six Sigma</w:t>
      </w:r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қателіктерді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мәліметтерге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3E88EFE1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3.4 SWOT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GAP-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266754D8" w14:textId="77777777" w:rsidR="000449A4" w:rsidRPr="000449A4" w:rsidRDefault="000449A4" w:rsidP="000449A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>SWOT-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бизнес-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күшті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жақтарын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мүмкіндіктер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қауіптерді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652EAE98" w14:textId="77777777" w:rsidR="000449A4" w:rsidRPr="000449A4" w:rsidRDefault="000449A4" w:rsidP="000449A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>GAP-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қалаған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нәтиже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алшақтықты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4AECEC0A" w14:textId="42440056" w:rsidR="000449A4" w:rsidRPr="000449A4" w:rsidRDefault="000449A4" w:rsidP="000449A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E2807E8" w14:textId="77777777" w:rsidR="000449A4" w:rsidRPr="000449A4" w:rsidRDefault="000449A4" w:rsidP="000449A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>4. Бизнес-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стратегиялары</w:t>
      </w:r>
      <w:proofErr w:type="spellEnd"/>
    </w:p>
    <w:p w14:paraId="60C44C09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</w:p>
    <w:p w14:paraId="65A5DFBE" w14:textId="77777777" w:rsidR="000449A4" w:rsidRPr="000449A4" w:rsidRDefault="000449A4" w:rsidP="000449A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szCs w:val="28"/>
          <w:lang w:eastAsia="ru-RU"/>
        </w:rPr>
        <w:t>Қағазбастылықты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27855A23" w14:textId="77777777" w:rsidR="000449A4" w:rsidRPr="000449A4" w:rsidRDefault="000449A4" w:rsidP="000449A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құжат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айналымын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41DFA996" w14:textId="77777777" w:rsidR="000449A4" w:rsidRPr="000449A4" w:rsidRDefault="000449A4" w:rsidP="000449A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szCs w:val="28"/>
          <w:lang w:eastAsia="ru-RU"/>
        </w:rPr>
        <w:t xml:space="preserve">ERP, CRM, BPM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3C79B429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4.2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роботтандыру</w:t>
      </w:r>
      <w:proofErr w:type="spellEnd"/>
    </w:p>
    <w:p w14:paraId="24016C7A" w14:textId="77777777" w:rsidR="000449A4" w:rsidRPr="000449A4" w:rsidRDefault="000449A4" w:rsidP="000449A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0449A4">
        <w:rPr>
          <w:rFonts w:eastAsia="Times New Roman" w:cs="Times New Roman"/>
          <w:szCs w:val="28"/>
          <w:lang w:val="en-US" w:eastAsia="ru-RU"/>
        </w:rPr>
        <w:t xml:space="preserve">RPA (Robotic Process Automation)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технологияларын</w:t>
      </w:r>
      <w:proofErr w:type="spellEnd"/>
      <w:r w:rsidRPr="000449A4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0449A4">
        <w:rPr>
          <w:rFonts w:eastAsia="Times New Roman" w:cs="Times New Roman"/>
          <w:szCs w:val="28"/>
          <w:lang w:val="en-US" w:eastAsia="ru-RU"/>
        </w:rPr>
        <w:t>.</w:t>
      </w:r>
    </w:p>
    <w:p w14:paraId="65AB4728" w14:textId="77777777" w:rsidR="000449A4" w:rsidRPr="000449A4" w:rsidRDefault="000449A4" w:rsidP="000449A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szCs w:val="28"/>
          <w:lang w:eastAsia="ru-RU"/>
        </w:rPr>
        <w:t>Күнделікті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тапсырмаларды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76D5A444" w14:textId="77777777" w:rsidR="000449A4" w:rsidRPr="000449A4" w:rsidRDefault="000449A4" w:rsidP="000449A4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4.3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Нәтижелерді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7D0BC3A1" w14:textId="77777777" w:rsidR="000449A4" w:rsidRPr="000449A4" w:rsidRDefault="000449A4" w:rsidP="000449A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szCs w:val="28"/>
          <w:lang w:eastAsia="ru-RU"/>
        </w:rPr>
        <w:t>Қызметкерлер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мен менеджмент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арасында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кері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байланыс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орнату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475CEC4D" w14:textId="77777777" w:rsidR="000449A4" w:rsidRPr="000449A4" w:rsidRDefault="000449A4" w:rsidP="000449A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szCs w:val="28"/>
          <w:lang w:eastAsia="ru-RU"/>
        </w:rPr>
        <w:t xml:space="preserve">KPI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көрсеткіштерін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52E226B4" w14:textId="77777777" w:rsidR="000449A4" w:rsidRPr="000449A4" w:rsidRDefault="000449A4" w:rsidP="000449A4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szCs w:val="28"/>
          <w:lang w:eastAsia="ru-RU"/>
        </w:rPr>
        <w:t>Lean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Six Sigma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48F3B456" w14:textId="5BE02DA5" w:rsidR="000449A4" w:rsidRPr="000449A4" w:rsidRDefault="000449A4" w:rsidP="000449A4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85A2521" w14:textId="77777777" w:rsidR="000449A4" w:rsidRPr="000449A4" w:rsidRDefault="000449A4" w:rsidP="000449A4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454F2D51" w14:textId="77777777" w:rsidR="000449A4" w:rsidRPr="000449A4" w:rsidRDefault="000449A4" w:rsidP="000449A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0449A4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жетістігі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аса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фактор. KPI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көрсеткіштерін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өз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процестерінің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тұстарын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жолдарын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белгілей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098A5D76" w14:textId="77777777" w:rsidR="000449A4" w:rsidRPr="000449A4" w:rsidRDefault="000449A4" w:rsidP="000449A4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0449A4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BI, ERP, BPM, RPA,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Six Sigma</w:t>
      </w:r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бақылауға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автоматтандыруға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lastRenderedPageBreak/>
        <w:t>бәсекеге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арттырып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нарықта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орын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алуға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0449A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0449A4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0449A4">
        <w:rPr>
          <w:rFonts w:eastAsia="Times New Roman" w:cs="Times New Roman"/>
          <w:szCs w:val="28"/>
          <w:lang w:eastAsia="ru-RU"/>
        </w:rPr>
        <w:t>.</w:t>
      </w:r>
    </w:p>
    <w:p w14:paraId="26470566" w14:textId="77777777" w:rsidR="00F12C76" w:rsidRPr="000449A4" w:rsidRDefault="00F12C76" w:rsidP="000449A4">
      <w:pPr>
        <w:spacing w:after="0"/>
        <w:ind w:firstLine="709"/>
        <w:jc w:val="both"/>
        <w:rPr>
          <w:szCs w:val="28"/>
        </w:rPr>
      </w:pPr>
    </w:p>
    <w:sectPr w:rsidR="00F12C76" w:rsidRPr="000449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623"/>
    <w:multiLevelType w:val="multilevel"/>
    <w:tmpl w:val="3554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07B41"/>
    <w:multiLevelType w:val="multilevel"/>
    <w:tmpl w:val="8D1E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76376"/>
    <w:multiLevelType w:val="multilevel"/>
    <w:tmpl w:val="E03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42306"/>
    <w:multiLevelType w:val="multilevel"/>
    <w:tmpl w:val="969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671CE"/>
    <w:multiLevelType w:val="multilevel"/>
    <w:tmpl w:val="8F3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74C02"/>
    <w:multiLevelType w:val="multilevel"/>
    <w:tmpl w:val="3A4E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33455"/>
    <w:multiLevelType w:val="multilevel"/>
    <w:tmpl w:val="DE3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A6CB0"/>
    <w:multiLevelType w:val="multilevel"/>
    <w:tmpl w:val="D98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92D4A"/>
    <w:multiLevelType w:val="multilevel"/>
    <w:tmpl w:val="51E4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D0EFF"/>
    <w:multiLevelType w:val="multilevel"/>
    <w:tmpl w:val="016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E2385"/>
    <w:multiLevelType w:val="multilevel"/>
    <w:tmpl w:val="E16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D485C"/>
    <w:multiLevelType w:val="multilevel"/>
    <w:tmpl w:val="6AA6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231406">
    <w:abstractNumId w:val="6"/>
  </w:num>
  <w:num w:numId="2" w16cid:durableId="131486535">
    <w:abstractNumId w:val="2"/>
  </w:num>
  <w:num w:numId="3" w16cid:durableId="565338570">
    <w:abstractNumId w:val="3"/>
  </w:num>
  <w:num w:numId="4" w16cid:durableId="411003526">
    <w:abstractNumId w:val="7"/>
  </w:num>
  <w:num w:numId="5" w16cid:durableId="148448183">
    <w:abstractNumId w:val="9"/>
  </w:num>
  <w:num w:numId="6" w16cid:durableId="21787505">
    <w:abstractNumId w:val="8"/>
  </w:num>
  <w:num w:numId="7" w16cid:durableId="383872592">
    <w:abstractNumId w:val="1"/>
  </w:num>
  <w:num w:numId="8" w16cid:durableId="1569537275">
    <w:abstractNumId w:val="5"/>
  </w:num>
  <w:num w:numId="9" w16cid:durableId="331178986">
    <w:abstractNumId w:val="4"/>
  </w:num>
  <w:num w:numId="10" w16cid:durableId="904754654">
    <w:abstractNumId w:val="11"/>
  </w:num>
  <w:num w:numId="11" w16cid:durableId="1860969105">
    <w:abstractNumId w:val="0"/>
  </w:num>
  <w:num w:numId="12" w16cid:durableId="186675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D8"/>
    <w:rsid w:val="000449A4"/>
    <w:rsid w:val="006C0B77"/>
    <w:rsid w:val="008242FF"/>
    <w:rsid w:val="00870751"/>
    <w:rsid w:val="00922C48"/>
    <w:rsid w:val="00A655D8"/>
    <w:rsid w:val="00B915B7"/>
    <w:rsid w:val="00D10AD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438C"/>
  <w15:chartTrackingRefBased/>
  <w15:docId w15:val="{C85874C6-6917-4FBF-8E39-BACD072E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65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5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5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5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5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5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5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5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5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55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55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55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55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655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655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655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655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65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5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5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55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655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55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55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55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655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2025-02-18T20:30:00Z</dcterms:created>
  <dcterms:modified xsi:type="dcterms:W3CDTF">2025-02-18T20:31:00Z</dcterms:modified>
</cp:coreProperties>
</file>