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1740" w14:textId="77777777" w:rsidR="00644898" w:rsidRPr="00644898" w:rsidRDefault="00644898" w:rsidP="00644898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>Объектілердің</w:t>
      </w:r>
      <w:proofErr w:type="spellEnd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>белгілерін</w:t>
      </w:r>
      <w:proofErr w:type="spellEnd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>есептеу</w:t>
      </w:r>
      <w:proofErr w:type="spellEnd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>негізінде</w:t>
      </w:r>
      <w:proofErr w:type="spellEnd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>оларды</w:t>
      </w:r>
      <w:proofErr w:type="spellEnd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kern w:val="36"/>
          <w:szCs w:val="28"/>
          <w:lang w:eastAsia="ru-RU"/>
        </w:rPr>
        <w:t>тану</w:t>
      </w:r>
      <w:proofErr w:type="spellEnd"/>
    </w:p>
    <w:p w14:paraId="1CCBB025" w14:textId="77777777" w:rsidR="00644898" w:rsidRPr="00644898" w:rsidRDefault="00644898" w:rsidP="0064489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1BB4DDF1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04B32D83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үлгі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pattern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recognition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саласындағы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бағыттардың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кескіндердегі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сигналдардағы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санаттарға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жіктеуге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8E5AE97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:</w:t>
      </w:r>
    </w:p>
    <w:p w14:paraId="4E67B2F1" w14:textId="77777777" w:rsidR="00644898" w:rsidRPr="00644898" w:rsidRDefault="00644898" w:rsidP="0064489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Ауруларды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диагностикалау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МРТ, КТ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рентген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кескіндеріндегі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аномалияларды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7B48AA74" w14:textId="77777777" w:rsidR="00644898" w:rsidRPr="00644898" w:rsidRDefault="00644898" w:rsidP="0064489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  <w:r w:rsidRPr="00644898">
        <w:rPr>
          <w:rFonts w:eastAsia="Times New Roman" w:cs="Times New Roman"/>
          <w:szCs w:val="28"/>
          <w:lang w:eastAsia="ru-RU"/>
        </w:rPr>
        <w:t xml:space="preserve"> Бет-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сәйкестендіру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биометриялық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аутентификация.</w:t>
      </w:r>
    </w:p>
    <w:p w14:paraId="2DC01B5A" w14:textId="77777777" w:rsidR="00644898" w:rsidRPr="00644898" w:rsidRDefault="00644898" w:rsidP="0064489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Жердің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ландшафтын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жіктеу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апаттарды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болжау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ауыл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шаруашылығы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экологиялық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мониторинг.</w:t>
      </w:r>
    </w:p>
    <w:p w14:paraId="3DE6253C" w14:textId="77777777" w:rsidR="00644898" w:rsidRPr="00644898" w:rsidRDefault="00644898" w:rsidP="0064489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инспекция:</w:t>
      </w:r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желідегі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412F4AF5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features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есептеуге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негізделеді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пішіні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түсі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текстурасы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өлшемі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4E5B82E1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технологиялардың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соның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ішінде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мүмкіндіктерінің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кеңеюі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қолданылуына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жол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ашуда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1A5E546C" w14:textId="77777777" w:rsidR="00644898" w:rsidRPr="00644898" w:rsidRDefault="00644898" w:rsidP="0064489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Объектілердің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2FD961EB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есептеледі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қасиеттерін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анықтайтын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өлшемдер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сипаттамалар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топқа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:</w:t>
      </w:r>
    </w:p>
    <w:p w14:paraId="418E2E11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статистикалық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B140AA8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бөлінісін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сапаны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бақылауда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7AE9AE69" w14:textId="77777777" w:rsidR="00644898" w:rsidRPr="00644898" w:rsidRDefault="00644898" w:rsidP="0064489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lastRenderedPageBreak/>
        <w:t>Орташа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мән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Mean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1D4FB30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арифметикалық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орташа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шамасы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жарықтығын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12B542D2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Формула:</w:t>
      </w:r>
    </w:p>
    <w:p w14:paraId="468A25F2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644898">
        <w:rPr>
          <w:rFonts w:eastAsia="Times New Roman" w:cs="Times New Roman"/>
          <w:szCs w:val="28"/>
          <w:lang w:eastAsia="ru-RU"/>
        </w:rPr>
        <w:drawing>
          <wp:inline distT="0" distB="0" distL="0" distR="0" wp14:anchorId="4CA82247" wp14:editId="6937D708">
            <wp:extent cx="1819529" cy="809738"/>
            <wp:effectExtent l="0" t="0" r="9525" b="9525"/>
            <wp:docPr id="19659751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751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C107" w14:textId="3CDE8025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r w:rsidRPr="00644898">
        <w:rPr>
          <w:rFonts w:eastAsia="Times New Roman" w:cs="Times New Roman"/>
          <w:szCs w:val="28"/>
          <w:lang w:val="kk-KZ" w:eastAsia="ru-RU"/>
        </w:rPr>
        <w:t>мұнда xix_i – пиксель мәні, NN – барлық пиксельдердің саны.</w:t>
      </w:r>
    </w:p>
    <w:p w14:paraId="0C05F7FF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C07ABEE" w14:textId="77777777" w:rsidR="00644898" w:rsidRPr="00644898" w:rsidRDefault="00644898" w:rsidP="0064489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Гистограммаларды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2D5BAF71" w14:textId="77777777" w:rsidR="00644898" w:rsidRPr="00644898" w:rsidRDefault="00644898" w:rsidP="0064489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Контрастылықты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31663DB2" w14:textId="77777777" w:rsidR="00644898" w:rsidRPr="00644898" w:rsidRDefault="00644898" w:rsidP="00644898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Бейнені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ала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3A599F9E" w14:textId="77777777" w:rsidR="00644898" w:rsidRPr="00644898" w:rsidRDefault="00644898" w:rsidP="0064489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Дисперсия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Variance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B4D54F4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szCs w:val="28"/>
          <w:lang w:eastAsia="ru-RU"/>
        </w:rPr>
        <w:t xml:space="preserve">Дисперсия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таралу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дәрежесін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қаншалықты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біркелкі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өзгерістерге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бай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екенін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00C0E558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Формула:</w:t>
      </w:r>
    </w:p>
    <w:p w14:paraId="249723CA" w14:textId="4D744E01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szCs w:val="28"/>
          <w:lang w:eastAsia="ru-RU"/>
        </w:rPr>
        <w:drawing>
          <wp:inline distT="0" distB="0" distL="0" distR="0" wp14:anchorId="72E83EDF" wp14:editId="52C0E73F">
            <wp:extent cx="2762636" cy="1057423"/>
            <wp:effectExtent l="0" t="0" r="0" b="9525"/>
            <wp:docPr id="1413624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249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CEC3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BBD003E" w14:textId="77777777" w:rsidR="00644898" w:rsidRPr="00644898" w:rsidRDefault="00644898" w:rsidP="0064489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Шудың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noise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2CBF342D" w14:textId="77777777" w:rsidR="00644898" w:rsidRPr="00644898" w:rsidRDefault="00644898" w:rsidP="0064489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айқындылығын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3E415A2B" w14:textId="77777777" w:rsidR="00644898" w:rsidRPr="00644898" w:rsidRDefault="00644898" w:rsidP="00644898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Аймақтардың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текстурасын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C2D09D2" w14:textId="77777777" w:rsidR="00644898" w:rsidRPr="00644898" w:rsidRDefault="00644898" w:rsidP="0064489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Медиана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Median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6DEB434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szCs w:val="28"/>
          <w:lang w:eastAsia="ru-RU"/>
        </w:rPr>
        <w:t xml:space="preserve">Медиана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пиксель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мәндері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өсу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ретімен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орналастырылған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кезде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ортасында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орналасқан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саны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жұп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медиана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ортаңғы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арифметикалық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ортасы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алынады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78B3EC8E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lastRenderedPageBreak/>
        <w:t>Қолданылуы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986F03C" w14:textId="77777777" w:rsidR="00644898" w:rsidRPr="00644898" w:rsidRDefault="00644898" w:rsidP="0064489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szCs w:val="28"/>
          <w:lang w:eastAsia="ru-RU"/>
        </w:rPr>
        <w:t xml:space="preserve">Шу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38BAEFF6" w14:textId="77777777" w:rsidR="00644898" w:rsidRPr="00644898" w:rsidRDefault="00644898" w:rsidP="0064489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769472C0" w14:textId="77777777" w:rsidR="00644898" w:rsidRPr="00644898" w:rsidRDefault="00644898" w:rsidP="00644898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шеттерді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тегістеуде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38032D68" w14:textId="77777777" w:rsidR="00644898" w:rsidRPr="00644898" w:rsidRDefault="00644898" w:rsidP="00644898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Стандартты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ауытқу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(Standard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Deviation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CF1B9C8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Стандартты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ауытқу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контрастылығы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өзгергіштігін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дисперсияның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квадрат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түбіріне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1071270B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Формула:</w:t>
      </w:r>
    </w:p>
    <w:p w14:paraId="5FF38E5C" w14:textId="4F115C52" w:rsidR="00644898" w:rsidRPr="00644898" w:rsidRDefault="00644898" w:rsidP="00644898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2C680500" wp14:editId="7B3F8655">
            <wp:extent cx="3368040" cy="1281974"/>
            <wp:effectExtent l="0" t="0" r="3810" b="0"/>
            <wp:docPr id="418947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68" cy="1283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A9568F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Қолданылуы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46A7E73" w14:textId="77777777" w:rsidR="00644898" w:rsidRPr="00644898" w:rsidRDefault="00644898" w:rsidP="0064489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Контрастылықты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4B12FE67" w14:textId="306FC7F4" w:rsidR="00644898" w:rsidRPr="00644898" w:rsidRDefault="00644898" w:rsidP="00644898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ерекшеліктерді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1BCD5C9A" w14:textId="3065C3BD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szCs w:val="28"/>
          <w:lang w:val="kk-KZ" w:eastAsia="ru-RU"/>
        </w:rPr>
        <w:t xml:space="preserve">Негізгі статистикалық белгілер объектілердің жарықтық және құрылымдық ерекшеліктерін сипаттауға мүмкіндік береді.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өзгергіштігін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контрастылығын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08D2F327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Геометриялық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FC6CA07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пішіні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өлшемін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:</w:t>
      </w:r>
    </w:p>
    <w:p w14:paraId="2841447D" w14:textId="77777777" w:rsidR="00644898" w:rsidRPr="00644898" w:rsidRDefault="00644898" w:rsidP="0064489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Ауданы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(Area)</w:t>
      </w:r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пиксель саны.</w:t>
      </w:r>
    </w:p>
    <w:p w14:paraId="6AED2FFF" w14:textId="77777777" w:rsidR="00644898" w:rsidRPr="00644898" w:rsidRDefault="00644898" w:rsidP="0064489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Периметр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Perimeter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шекарасының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ұзындығы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28573982" w14:textId="77777777" w:rsidR="00644898" w:rsidRPr="00644898" w:rsidRDefault="00644898" w:rsidP="0064489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Компакттық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Compactness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пішінінің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дөңгелектік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3545EB0C" w14:textId="77777777" w:rsidR="00644898" w:rsidRPr="00644898" w:rsidRDefault="00644898" w:rsidP="0064489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Эксцентриситет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Eccentricity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эллипс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тәрізділігін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5656F563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Текстуралық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110C27C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Кескіннің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құрылымдық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:</w:t>
      </w:r>
    </w:p>
    <w:p w14:paraId="5B0201FC" w14:textId="77777777" w:rsidR="00644898" w:rsidRPr="00644898" w:rsidRDefault="00644898" w:rsidP="0064489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Гистограмма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негізіндегі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пиксель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жиілігін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көрсетеді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771312CF" w14:textId="77777777" w:rsidR="00644898" w:rsidRPr="00644898" w:rsidRDefault="00644898" w:rsidP="0064489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Грей-коэффициент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матрицасы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(GLCM)</w:t>
      </w:r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орналасуын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31C58F7A" w14:textId="77777777" w:rsidR="00644898" w:rsidRPr="00644898" w:rsidRDefault="00644898" w:rsidP="00644898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Haralick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текстураның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контрастын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біртектілігін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корреляциясын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031E13F7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Спектралдық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3F099A3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:</w:t>
      </w:r>
    </w:p>
    <w:p w14:paraId="3042D0D1" w14:textId="77777777" w:rsidR="00644898" w:rsidRPr="00644898" w:rsidRDefault="00644898" w:rsidP="0064489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Гистограммалық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пиксель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мәндерінің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таралуын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зерттейді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0E51C12A" w14:textId="77777777" w:rsidR="00644898" w:rsidRPr="00644898" w:rsidRDefault="00644898" w:rsidP="0064489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Жиілік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доменіндегі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Fourier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Wavelet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талдаулары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жиілік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сипаттамаларын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716C1690" w14:textId="48CC49E6" w:rsidR="00644898" w:rsidRPr="00644898" w:rsidRDefault="00644898" w:rsidP="0064489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AAA75E4" w14:textId="77777777" w:rsidR="00644898" w:rsidRPr="00644898" w:rsidRDefault="00644898" w:rsidP="0064489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5879951A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ережелерге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алгоритмдерден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желілерге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жетеді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4B59E827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Дәстүрлі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Классикалық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әдістер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32BF49C" w14:textId="77777777" w:rsidR="00644898" w:rsidRPr="00644898" w:rsidRDefault="00644898" w:rsidP="0064489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Порогтық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әдіс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Thresholding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):</w:t>
      </w:r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фонынан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ажырату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көбінесе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жағдайларда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контрастты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суреттерде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5853F9B5" w14:textId="77777777" w:rsidR="00644898" w:rsidRPr="00644898" w:rsidRDefault="00644898" w:rsidP="0064489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Контурларды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Contour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analysis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):</w:t>
      </w:r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пішінін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бағалайды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289F8A51" w14:textId="77777777" w:rsidR="00644898" w:rsidRPr="00644898" w:rsidRDefault="00644898" w:rsidP="0064489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>Байес классификаторы (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Bayes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classifier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):</w:t>
      </w:r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ықтималдық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үлестіріміне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0B8A1F0B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2.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 (Machine Learning-based Methods)</w:t>
      </w:r>
    </w:p>
    <w:p w14:paraId="4CD5A5C3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белгілерін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қолдана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оларды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кластарға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жатқызады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3B450F98" w14:textId="77777777" w:rsidR="00644898" w:rsidRPr="00644898" w:rsidRDefault="00644898" w:rsidP="0064489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K-Means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кластерлеуі</w:t>
      </w:r>
      <w:proofErr w:type="spellEnd"/>
      <w:r w:rsidRPr="00644898">
        <w:rPr>
          <w:rFonts w:eastAsia="Times New Roman" w:cs="Times New Roman"/>
          <w:b/>
          <w:bCs/>
          <w:szCs w:val="28"/>
          <w:lang w:val="en-US" w:eastAsia="ru-RU"/>
        </w:rPr>
        <w:t>:</w:t>
      </w:r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топқа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63740751" w14:textId="77777777" w:rsidR="00644898" w:rsidRPr="00644898" w:rsidRDefault="00644898" w:rsidP="0064489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>Support Vector Machine (SVM):</w:t>
      </w:r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кластар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шекараны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7549AB1B" w14:textId="77777777" w:rsidR="00644898" w:rsidRPr="00644898" w:rsidRDefault="00644898" w:rsidP="00644898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>Random Forest:</w:t>
      </w:r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ағаштарын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, </w:t>
      </w:r>
      <w:r w:rsidRPr="00644898">
        <w:rPr>
          <w:rFonts w:eastAsia="Times New Roman" w:cs="Times New Roman"/>
          <w:szCs w:val="28"/>
          <w:lang w:eastAsia="ru-RU"/>
        </w:rPr>
        <w:t>классификация</w:t>
      </w:r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жасайды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26360E3E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3.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Терең</w:t>
      </w:r>
      <w:proofErr w:type="spellEnd"/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644898">
        <w:rPr>
          <w:rFonts w:eastAsia="Times New Roman" w:cs="Times New Roman"/>
          <w:b/>
          <w:bCs/>
          <w:szCs w:val="28"/>
          <w:lang w:val="en-US" w:eastAsia="ru-RU"/>
        </w:rPr>
        <w:t xml:space="preserve"> (Deep Learning-based Methods)</w:t>
      </w:r>
    </w:p>
    <w:p w14:paraId="02CD1580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lastRenderedPageBreak/>
        <w:t>Күрделі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дәлдікті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ететін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есептерде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нейрондық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желілер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10BE9317" w14:textId="77777777" w:rsidR="00644898" w:rsidRPr="00644898" w:rsidRDefault="00644898" w:rsidP="0064489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>Convolutional Neural Networks (CNN):</w:t>
      </w:r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ең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әдістердің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7A1D86B0" w14:textId="77777777" w:rsidR="00644898" w:rsidRPr="00644898" w:rsidRDefault="00644898" w:rsidP="0064489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>U-Net:</w:t>
      </w:r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59C4FAA8" w14:textId="77777777" w:rsidR="00644898" w:rsidRPr="00644898" w:rsidRDefault="00644898" w:rsidP="0064489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644898">
        <w:rPr>
          <w:rFonts w:eastAsia="Times New Roman" w:cs="Times New Roman"/>
          <w:b/>
          <w:bCs/>
          <w:szCs w:val="28"/>
          <w:lang w:val="en-US" w:eastAsia="ru-RU"/>
        </w:rPr>
        <w:t>YOLO (You Only Look Once):</w:t>
      </w:r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644898">
        <w:rPr>
          <w:rFonts w:eastAsia="Times New Roman" w:cs="Times New Roman"/>
          <w:szCs w:val="28"/>
          <w:lang w:val="en-US" w:eastAsia="ru-RU"/>
        </w:rPr>
        <w:t>.</w:t>
      </w:r>
    </w:p>
    <w:p w14:paraId="74D0EE72" w14:textId="603BCE00" w:rsidR="00644898" w:rsidRPr="00644898" w:rsidRDefault="00644898" w:rsidP="0064489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E588F71" w14:textId="77777777" w:rsidR="00644898" w:rsidRPr="00644898" w:rsidRDefault="00644898" w:rsidP="0064489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7683979F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бейнелерді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15CAA18" w14:textId="77777777" w:rsidR="00644898" w:rsidRPr="00644898" w:rsidRDefault="00644898" w:rsidP="0064489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Ауруларды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рентген, МРТ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суреттерінде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ошақтарын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табу).</w:t>
      </w:r>
    </w:p>
    <w:p w14:paraId="4AF633F5" w14:textId="77777777" w:rsidR="00644898" w:rsidRPr="00644898" w:rsidRDefault="00644898" w:rsidP="00644898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Биологиялық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жасушалардың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23424A7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56F1508" w14:textId="77777777" w:rsidR="00644898" w:rsidRPr="00644898" w:rsidRDefault="00644898" w:rsidP="0064489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Өнімдердің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118678C6" w14:textId="77777777" w:rsidR="00644898" w:rsidRPr="00644898" w:rsidRDefault="00644898" w:rsidP="00644898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жүйелерде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заттарды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сұрыптау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ED4057D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6E38A24" w14:textId="77777777" w:rsidR="00644898" w:rsidRPr="00644898" w:rsidRDefault="00644898" w:rsidP="0064489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644898">
        <w:rPr>
          <w:rFonts w:eastAsia="Times New Roman" w:cs="Times New Roman"/>
          <w:szCs w:val="28"/>
          <w:lang w:eastAsia="ru-RU"/>
        </w:rPr>
        <w:t>Бет-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банктерде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әуежайларда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пункттерінде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).</w:t>
      </w:r>
    </w:p>
    <w:p w14:paraId="7237591F" w14:textId="77777777" w:rsidR="00644898" w:rsidRPr="00644898" w:rsidRDefault="00644898" w:rsidP="00644898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Көліктердің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мемлекеттік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нөмірлерін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5062F67E" w14:textId="77777777" w:rsidR="00644898" w:rsidRPr="00644898" w:rsidRDefault="00644898" w:rsidP="00644898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F971FE7" w14:textId="77777777" w:rsidR="00644898" w:rsidRPr="00644898" w:rsidRDefault="00644898" w:rsidP="0064489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Жердің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ландшафтық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өзгерістерін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3AFE2D7" w14:textId="77777777" w:rsidR="00644898" w:rsidRPr="00644898" w:rsidRDefault="00644898" w:rsidP="00644898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апаттарды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болжау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D9E511B" w14:textId="3381A570" w:rsidR="00644898" w:rsidRPr="00644898" w:rsidRDefault="00644898" w:rsidP="00644898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D9A7470" w14:textId="77777777" w:rsidR="00644898" w:rsidRPr="00644898" w:rsidRDefault="00644898" w:rsidP="00644898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277A715E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компьютерлік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интеллекттің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бағыты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кескіндер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бейнелердегі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классификациялау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технология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медицинадан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бастап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инспекцияға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ауыл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шаруашылығынан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бейнелерді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1F5BE623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lastRenderedPageBreak/>
        <w:t>Белгілерді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сипаттаудың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қадамы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статистикалық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геометриялық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текстуралық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белгілер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олардың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айырмашылықтарын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Дәстүрлі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жағдайларда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көлемдегі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деректермен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істей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дәлдікті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ететін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міндеттерді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орындай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23988F07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Болашақтағы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даму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перспективалары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EB3CFDE" w14:textId="77777777" w:rsidR="00644898" w:rsidRPr="00644898" w:rsidRDefault="00644898" w:rsidP="0064489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интеллект пен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нейрондық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желілердің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жетілдірілуі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арттырады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433A46B3" w14:textId="77777777" w:rsidR="00644898" w:rsidRPr="00644898" w:rsidRDefault="00644898" w:rsidP="0064489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деректерді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(Big Data)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мүмкіндіктерінің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артуы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классификация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автоматтандыруды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жақсартады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2DB70CB5" w14:textId="77777777" w:rsidR="00644898" w:rsidRPr="00644898" w:rsidRDefault="00644898" w:rsidP="0064489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Қосымшалардың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кеңеюі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автономды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көлік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интеллектуалды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робототехника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арта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түседі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26F40C3" w14:textId="77777777" w:rsidR="00644898" w:rsidRPr="00644898" w:rsidRDefault="00644898" w:rsidP="00644898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Кванттық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есептеулер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64489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b/>
          <w:bCs/>
          <w:szCs w:val="28"/>
          <w:lang w:eastAsia="ru-RU"/>
        </w:rPr>
        <w:t>алгоритмдер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танудың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күрделілігін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төмендетіп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қысқартуға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61145DD7" w14:textId="77777777" w:rsidR="00644898" w:rsidRPr="00644898" w:rsidRDefault="00644898" w:rsidP="00644898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44898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дамуымен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жетілдіріліп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интеллекттің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мүмкіндіктерінің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артуы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процестерінің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етіп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, адам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өмірінің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аспектілерінде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автоматтандыру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мен интеллектуализация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44898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44898">
        <w:rPr>
          <w:rFonts w:eastAsia="Times New Roman" w:cs="Times New Roman"/>
          <w:szCs w:val="28"/>
          <w:lang w:eastAsia="ru-RU"/>
        </w:rPr>
        <w:t>.</w:t>
      </w:r>
    </w:p>
    <w:p w14:paraId="0DDB0A2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8D5"/>
    <w:multiLevelType w:val="multilevel"/>
    <w:tmpl w:val="D48A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C64D9"/>
    <w:multiLevelType w:val="multilevel"/>
    <w:tmpl w:val="452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B34CF"/>
    <w:multiLevelType w:val="multilevel"/>
    <w:tmpl w:val="51E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04385"/>
    <w:multiLevelType w:val="multilevel"/>
    <w:tmpl w:val="103A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30D93"/>
    <w:multiLevelType w:val="multilevel"/>
    <w:tmpl w:val="C22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13CB9"/>
    <w:multiLevelType w:val="multilevel"/>
    <w:tmpl w:val="9DE0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E3E00"/>
    <w:multiLevelType w:val="multilevel"/>
    <w:tmpl w:val="A80A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362E4"/>
    <w:multiLevelType w:val="multilevel"/>
    <w:tmpl w:val="FCE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6546F"/>
    <w:multiLevelType w:val="multilevel"/>
    <w:tmpl w:val="F94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F5379"/>
    <w:multiLevelType w:val="multilevel"/>
    <w:tmpl w:val="002C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213C9"/>
    <w:multiLevelType w:val="multilevel"/>
    <w:tmpl w:val="69E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16C1B"/>
    <w:multiLevelType w:val="multilevel"/>
    <w:tmpl w:val="0D0C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6731B"/>
    <w:multiLevelType w:val="multilevel"/>
    <w:tmpl w:val="4A80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271F9"/>
    <w:multiLevelType w:val="multilevel"/>
    <w:tmpl w:val="4EEE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5751D1"/>
    <w:multiLevelType w:val="multilevel"/>
    <w:tmpl w:val="0BD6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73130"/>
    <w:multiLevelType w:val="multilevel"/>
    <w:tmpl w:val="95D0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462C0"/>
    <w:multiLevelType w:val="multilevel"/>
    <w:tmpl w:val="5BB6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855663">
    <w:abstractNumId w:val="10"/>
  </w:num>
  <w:num w:numId="2" w16cid:durableId="1454210303">
    <w:abstractNumId w:val="7"/>
  </w:num>
  <w:num w:numId="3" w16cid:durableId="1773470546">
    <w:abstractNumId w:val="2"/>
  </w:num>
  <w:num w:numId="4" w16cid:durableId="2022312104">
    <w:abstractNumId w:val="3"/>
  </w:num>
  <w:num w:numId="5" w16cid:durableId="732003589">
    <w:abstractNumId w:val="5"/>
  </w:num>
  <w:num w:numId="6" w16cid:durableId="2120299405">
    <w:abstractNumId w:val="14"/>
  </w:num>
  <w:num w:numId="7" w16cid:durableId="1727945308">
    <w:abstractNumId w:val="15"/>
  </w:num>
  <w:num w:numId="8" w16cid:durableId="927735999">
    <w:abstractNumId w:val="4"/>
  </w:num>
  <w:num w:numId="9" w16cid:durableId="1913811465">
    <w:abstractNumId w:val="1"/>
  </w:num>
  <w:num w:numId="10" w16cid:durableId="81609430">
    <w:abstractNumId w:val="0"/>
  </w:num>
  <w:num w:numId="11" w16cid:durableId="27802753">
    <w:abstractNumId w:val="11"/>
  </w:num>
  <w:num w:numId="12" w16cid:durableId="634793110">
    <w:abstractNumId w:val="6"/>
  </w:num>
  <w:num w:numId="13" w16cid:durableId="1739865236">
    <w:abstractNumId w:val="13"/>
  </w:num>
  <w:num w:numId="14" w16cid:durableId="168957959">
    <w:abstractNumId w:val="9"/>
  </w:num>
  <w:num w:numId="15" w16cid:durableId="2072657102">
    <w:abstractNumId w:val="16"/>
  </w:num>
  <w:num w:numId="16" w16cid:durableId="1896548153">
    <w:abstractNumId w:val="12"/>
  </w:num>
  <w:num w:numId="17" w16cid:durableId="1665817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89"/>
    <w:rsid w:val="00204089"/>
    <w:rsid w:val="00644898"/>
    <w:rsid w:val="006C0B77"/>
    <w:rsid w:val="008242FF"/>
    <w:rsid w:val="00870751"/>
    <w:rsid w:val="00922C48"/>
    <w:rsid w:val="00B915B7"/>
    <w:rsid w:val="00BA4FD0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A24F"/>
  <w15:chartTrackingRefBased/>
  <w15:docId w15:val="{27FE1FAF-3F02-484B-B7CD-C8003762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0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0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0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40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40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40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40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40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4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0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40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0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0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0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40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2025-02-16T19:46:00Z</dcterms:created>
  <dcterms:modified xsi:type="dcterms:W3CDTF">2025-02-16T19:51:00Z</dcterms:modified>
</cp:coreProperties>
</file>