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2CF6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пәні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міндеттері</w:t>
      </w:r>
      <w:proofErr w:type="spellEnd"/>
    </w:p>
    <w:p w14:paraId="39501929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Медицинада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br/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диагностика,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емдеу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процестерінде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технология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дәрігерлерге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диагноз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қоюға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емдеу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50E20725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Радиологиялық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(рентген, МРТ, КТ)</w:t>
      </w:r>
    </w:p>
    <w:p w14:paraId="0A38FAB3" w14:textId="77777777" w:rsidR="00F43C3A" w:rsidRPr="00F43C3A" w:rsidRDefault="00F43C3A" w:rsidP="00F43C3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>Рентген (X-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ray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):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рентгендік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суреттерде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сүйек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құрылымдары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ағзалардың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көлеңкелері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көрсетіледі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жасырын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46F659DA" w14:textId="77777777" w:rsidR="00F43C3A" w:rsidRPr="00F43C3A" w:rsidRDefault="00F43C3A" w:rsidP="00F43C3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Магнитті-резонанстық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томография (МРТ):</w:t>
      </w:r>
      <w:r w:rsidRPr="00F43C3A">
        <w:rPr>
          <w:rFonts w:eastAsia="Times New Roman" w:cs="Times New Roman"/>
          <w:szCs w:val="28"/>
          <w:lang w:eastAsia="ru-RU"/>
        </w:rPr>
        <w:t xml:space="preserve"> МРТ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жұмсақ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егжей-тегжейлі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нақтырақ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түстермен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ерекшелеу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73E1DC34" w14:textId="77777777" w:rsidR="00F43C3A" w:rsidRPr="00F43C3A" w:rsidRDefault="00F43C3A" w:rsidP="00F43C3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томография (КТ):</w:t>
      </w:r>
      <w:r w:rsidRPr="00F43C3A">
        <w:rPr>
          <w:rFonts w:eastAsia="Times New Roman" w:cs="Times New Roman"/>
          <w:szCs w:val="28"/>
          <w:lang w:eastAsia="ru-RU"/>
        </w:rPr>
        <w:t xml:space="preserve"> КТ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кескіндерінен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үшөлшемді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адам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ағзасының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толыққанды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ісіктерді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бар.</w:t>
      </w:r>
    </w:p>
    <w:p w14:paraId="3AC9B931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Ультрадыбыстық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(УДЗ)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кескіндерін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br/>
        <w:t xml:space="preserve">УДЗ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кескіндерінің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құрылғының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параметрлеріне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өзгеруі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артефактілерді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айқындау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органдардың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асырылады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жүкті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әйелдердің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ұрық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бақылауда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жүрек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ауруларын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диагностикалауда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67D261D8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Гистологиялық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патологиялық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0D007B88" w14:textId="77777777" w:rsidR="00F43C3A" w:rsidRPr="00F43C3A" w:rsidRDefault="00F43C3A" w:rsidP="00F43C3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Гистологиялық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зерттеулер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үлгілерінің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жасушалық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аномалияларды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жасушаларын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инфекциялық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668FBEA3" w14:textId="77777777" w:rsidR="00F43C3A" w:rsidRPr="00F43C3A" w:rsidRDefault="00F43C3A" w:rsidP="00F43C3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технологияларымен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біріктіре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жіктеуге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33914FD4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4. Хирургия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симуляция</w:t>
      </w:r>
    </w:p>
    <w:p w14:paraId="68B03EF8" w14:textId="77777777" w:rsidR="00F43C3A" w:rsidRPr="00F43C3A" w:rsidRDefault="00F43C3A" w:rsidP="00F43C3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Үшөлшемді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хирургтарға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операция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алдында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науқастың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құрылысын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мидың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үшөлшемді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lastRenderedPageBreak/>
        <w:t>моделін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нейрохирургиялық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дәлірек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жоспарлауға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4C6CB0D2" w14:textId="77777777" w:rsidR="00F43C3A" w:rsidRPr="00F43C3A" w:rsidRDefault="00F43C3A" w:rsidP="00F43C3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Роботтандырылған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хирургияда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робот-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хирургтарға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операция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00C84461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Тері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ауруларын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офтальмологиялық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патологияларды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диагностикалау</w:t>
      </w:r>
      <w:proofErr w:type="spellEnd"/>
    </w:p>
    <w:p w14:paraId="1DF3F9C8" w14:textId="77777777" w:rsidR="00F43C3A" w:rsidRPr="00F43C3A" w:rsidRDefault="00F43C3A" w:rsidP="00F43C3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Дерматологияда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ісіктерін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(меланома)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терідегі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жасушалардың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болжай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33C23E82" w14:textId="77777777" w:rsidR="00F43C3A" w:rsidRPr="00F43C3A" w:rsidRDefault="00F43C3A" w:rsidP="00F43C3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Офтальмологияда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көздің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тор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қабығының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суреттерін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глаукома,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диабеттік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ретинопатия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көз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ауруларын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бар.</w:t>
      </w:r>
    </w:p>
    <w:p w14:paraId="3DE4BFD4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диагностика мен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емдеу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қана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қоймай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денсаулық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жүйесін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көтеруде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5CDCDE2F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алуға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көбейтуге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құрылғылар</w:t>
      </w:r>
      <w:proofErr w:type="spellEnd"/>
    </w:p>
    <w:p w14:paraId="20449901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өңдеуден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өтуі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аналогтық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түрден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02AE6C5F" w14:textId="77777777" w:rsidR="00486E4C" w:rsidRPr="00486E4C" w:rsidRDefault="00486E4C" w:rsidP="00486E4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алу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құрылғылары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цифрлауыштар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880240B" w14:textId="77777777" w:rsidR="00486E4C" w:rsidRPr="00486E4C" w:rsidRDefault="00486E4C" w:rsidP="00486E4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Сандық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фотоаппараттар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бейнекамералар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түсіріп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форматта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66F3A84A" w14:textId="77777777" w:rsidR="00486E4C" w:rsidRPr="00486E4C" w:rsidRDefault="00486E4C" w:rsidP="00486E4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Сканерлер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қағаздағы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пленкадағы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айналдырады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2C8C1E30" w14:textId="77777777" w:rsidR="00486E4C" w:rsidRPr="00486E4C" w:rsidRDefault="00486E4C" w:rsidP="00486E4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серіктік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Жердің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бетінің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суреттерін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түсіруге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166EE238" w14:textId="77777777" w:rsidR="00486E4C" w:rsidRPr="00486E4C" w:rsidRDefault="00486E4C" w:rsidP="00486E4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диагностикалық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рентген,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магниттік-резонанстық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томография (МРТ)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томография (КТ)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аппаратуралары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36E93C76" w14:textId="77777777" w:rsidR="00486E4C" w:rsidRPr="00486E4C" w:rsidRDefault="00486E4C" w:rsidP="00486E4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құрылғылары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дисплейлер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CC14499" w14:textId="77777777" w:rsidR="00486E4C" w:rsidRPr="00486E4C" w:rsidRDefault="00486E4C" w:rsidP="00486E4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Мониторлар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(LCD, OLED, LED)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экранға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шығаратын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0D71713C" w14:textId="77777777" w:rsidR="00486E4C" w:rsidRPr="00486E4C" w:rsidRDefault="00486E4C" w:rsidP="00486E4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Проекторлар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беттерге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проекциялау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5411C17E" w14:textId="77777777" w:rsidR="00486E4C" w:rsidRPr="00486E4C" w:rsidRDefault="00486E4C" w:rsidP="00486E4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lastRenderedPageBreak/>
        <w:t>Баспа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құрылғылары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принтерлер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қағазға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беттерге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шығару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4838EF8A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</w:p>
    <w:p w14:paraId="3CB69830" w14:textId="77777777" w:rsidR="00F43C3A" w:rsidRPr="00F43C3A" w:rsidRDefault="00F43C3A" w:rsidP="00F43C3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цифрландыру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процесі</w:t>
      </w:r>
      <w:proofErr w:type="spellEnd"/>
    </w:p>
    <w:p w14:paraId="43F94AD8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цифрландыру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аналогтық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сандық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форматқа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түрлендіру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яғни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компьютермен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өңделетін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сақталатын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нұсқасын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процесс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бейне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фотосурет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қағаз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құжаттар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басқа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визуалды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түрлерін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түрге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айналдыру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4DB91F67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Цифрландыру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кезеңнен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тұрады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:</w:t>
      </w:r>
    </w:p>
    <w:p w14:paraId="51F69193" w14:textId="77777777" w:rsidR="00F43C3A" w:rsidRPr="00F43C3A" w:rsidRDefault="00F43C3A" w:rsidP="00F43C3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1. Дискретизация (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үлгілеу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</w:p>
    <w:p w14:paraId="7B3BA877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t xml:space="preserve">Дискретизация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үздіксіз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кішкентай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элементтерге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пиксельдерге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бөлу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процесі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3ABAC4EF" w14:textId="77777777" w:rsidR="00F43C3A" w:rsidRPr="00F43C3A" w:rsidRDefault="00F43C3A" w:rsidP="00F43C3A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Пиксель (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Pixel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Picture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Element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ең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кіші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элементі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неғұрлым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ажыратымдылыққа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ие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болса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онда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дискретизация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кезінде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пиксельдердің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соғұрлым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көп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анықтығын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арттырады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2A21C74A" w14:textId="77777777" w:rsidR="00F43C3A" w:rsidRPr="00F43C3A" w:rsidRDefault="00F43C3A" w:rsidP="00F43C3A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Ажыратымдылық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Resolution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пиксельдер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саны (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мысалы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1920×1080 пиксель Full HD форматы).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Ажыратымдылық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болған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сайын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сапасы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6CE719C7" w14:textId="77777777" w:rsidR="00F43C3A" w:rsidRPr="00F43C3A" w:rsidRDefault="00F43C3A" w:rsidP="00F43C3A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Дискретизация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жиілігі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пиксельдердің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орналасу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тығыздығы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Дискретизация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жиілігі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болса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ұсақ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бөлшектерді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дәл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анықтауға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78D4D476" w14:textId="77777777" w:rsidR="00F43C3A" w:rsidRPr="00F43C3A" w:rsidRDefault="00F43C3A" w:rsidP="00F43C3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Кванттау</w:t>
      </w:r>
      <w:proofErr w:type="spellEnd"/>
    </w:p>
    <w:p w14:paraId="17E7A5BC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пиксельге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реңкті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тағайындау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кезең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түстерін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реңктерін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кодқа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айналдырады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2CCDE24F" w14:textId="77777777" w:rsidR="00F43C3A" w:rsidRPr="00F43C3A" w:rsidRDefault="00F43C3A" w:rsidP="00F43C3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Түстерді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түспен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, RGB (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жасыл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модельде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түске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8 бит (256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бөлінсе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16,7 миллион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716FAF56" w14:textId="77777777" w:rsidR="00F43C3A" w:rsidRPr="00F43C3A" w:rsidRDefault="00F43C3A" w:rsidP="00F43C3A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реңктерді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аралығындағы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реңктермен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8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биттік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жүйеде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256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реңк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(0 – таза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255 – таза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).</w:t>
      </w:r>
    </w:p>
    <w:p w14:paraId="64A670BF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деңгейде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кодтауға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:</w:t>
      </w:r>
    </w:p>
    <w:p w14:paraId="60404EFD" w14:textId="77777777" w:rsidR="00F43C3A" w:rsidRPr="00F43C3A" w:rsidRDefault="00F43C3A" w:rsidP="00F43C3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>1 бит (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монохромды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):</w:t>
      </w:r>
      <w:r w:rsidRPr="00F43C3A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1E232690" w14:textId="77777777" w:rsidR="00F43C3A" w:rsidRPr="00F43C3A" w:rsidRDefault="00F43C3A" w:rsidP="00F43C3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8 бит (256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реңк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):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сұр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градиенттері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458B364F" w14:textId="77777777" w:rsidR="00F43C3A" w:rsidRPr="00F43C3A" w:rsidRDefault="00F43C3A" w:rsidP="00F43C3A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24 бит (16,7 миллион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түс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):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қамтуға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08AF3FEE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дәлдігі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сайын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жақсырақ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файлдың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көлемі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46344F06" w14:textId="77777777" w:rsidR="00F43C3A" w:rsidRPr="00F43C3A" w:rsidRDefault="00F43C3A" w:rsidP="00F43C3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Кодтау</w:t>
      </w:r>
      <w:proofErr w:type="spellEnd"/>
    </w:p>
    <w:p w14:paraId="5FC8708B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Кодтау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цифрланған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форматта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27927CC2" w14:textId="77777777" w:rsidR="00F43C3A" w:rsidRPr="00F43C3A" w:rsidRDefault="00F43C3A" w:rsidP="00F43C3A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Жоғалтусыз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Lossless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кодтау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жоғалтпай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қысу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(PNG, TIFF, BMP).</w:t>
      </w:r>
    </w:p>
    <w:p w14:paraId="39C8E669" w14:textId="77777777" w:rsidR="00F43C3A" w:rsidRPr="00F43C3A" w:rsidRDefault="00F43C3A" w:rsidP="00F43C3A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Жоғалтумен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Lossy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кодтау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тастау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қысу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(JPEG,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WebP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).</w:t>
      </w:r>
    </w:p>
    <w:p w14:paraId="6B3C0C01" w14:textId="77777777" w:rsidR="00F43C3A" w:rsidRPr="00F43C3A" w:rsidRDefault="00F43C3A" w:rsidP="00F43C3A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Векторлық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(SVG, AI, EPS):</w:t>
      </w:r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формулалар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бейнеленеді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79A5759A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Цифрландырылған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форматын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саласына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JPEG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суреттері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ғаламторда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TIFF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0FEA9102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технологиялардағы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процесс. Ол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құжаттарды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электронды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архивке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айналдыруда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Дискретизация,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кванттау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кодтау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кезеңдері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аналогтық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түрлендіріледі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мүмкіндігін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1B01CF57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szCs w:val="28"/>
          <w:lang w:eastAsia="ru-RU"/>
        </w:rPr>
        <w:t>Цифрланған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форматта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:</w:t>
      </w:r>
    </w:p>
    <w:p w14:paraId="2F7BFADF" w14:textId="77777777" w:rsidR="00486E4C" w:rsidRPr="00486E4C" w:rsidRDefault="00486E4C" w:rsidP="00486E4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Растрлық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биттік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карталар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): BMP, JPEG, PNG, GIF, TIFF.</w:t>
      </w:r>
    </w:p>
    <w:p w14:paraId="425414AE" w14:textId="77777777" w:rsidR="00486E4C" w:rsidRPr="00486E4C" w:rsidRDefault="00486E4C" w:rsidP="00486E4C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Векторлық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: SVG, AI, EPS, PDF.</w:t>
      </w:r>
    </w:p>
    <w:p w14:paraId="2EAA1E9E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үлгілері</w:t>
      </w:r>
      <w:proofErr w:type="spellEnd"/>
    </w:p>
    <w:p w14:paraId="4F657135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үлгілері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құрылымына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түсіне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тәсіліне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жіктеледі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:</w:t>
      </w:r>
    </w:p>
    <w:p w14:paraId="01B4E7FB" w14:textId="77777777" w:rsidR="00486E4C" w:rsidRPr="00486E4C" w:rsidRDefault="00486E4C" w:rsidP="00486E4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Binary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тек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, штрих-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кодтар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).</w:t>
      </w:r>
    </w:p>
    <w:p w14:paraId="143446FA" w14:textId="77777777" w:rsidR="00486E4C" w:rsidRPr="00486E4C" w:rsidRDefault="00486E4C" w:rsidP="00486E4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Сұр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реңкті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Grayscale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256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деңгейлі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реңктерді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(0 –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қара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255 –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).</w:t>
      </w:r>
    </w:p>
    <w:p w14:paraId="3493A08B" w14:textId="77777777" w:rsidR="00486E4C" w:rsidRPr="00486E4C" w:rsidRDefault="00486E4C" w:rsidP="00486E4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Түрлі-түсті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(RGB, CMYK)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әр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пиксельдің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3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4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арнада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1E82B610" w14:textId="77777777" w:rsidR="00486E4C" w:rsidRPr="00486E4C" w:rsidRDefault="00486E4C" w:rsidP="00486E4C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Көпарналы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Multispectral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Hyperspectral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арналармен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түс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мәліметтерін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кеңейтеді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инфрақызыл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суреттер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).</w:t>
      </w:r>
    </w:p>
    <w:p w14:paraId="178F34D2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классификациялау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мәселелері</w:t>
      </w:r>
      <w:proofErr w:type="spellEnd"/>
    </w:p>
    <w:p w14:paraId="6BEA07D2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szCs w:val="28"/>
          <w:lang w:eastAsia="ru-RU"/>
        </w:rPr>
        <w:lastRenderedPageBreak/>
        <w:t>Кескінді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міндеттеріне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мыналар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жатады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:</w:t>
      </w:r>
    </w:p>
    <w:p w14:paraId="0C3AF196" w14:textId="77777777" w:rsidR="00486E4C" w:rsidRPr="00486E4C" w:rsidRDefault="00486E4C" w:rsidP="00486E4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Enhancement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суреттің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4C52C95B" w14:textId="77777777" w:rsidR="00486E4C" w:rsidRPr="00486E4C" w:rsidRDefault="00486E4C" w:rsidP="00486E4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Сүзгілеу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Filtering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керісінше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ерекшелеу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1F0374F0" w14:textId="77777777" w:rsidR="00486E4C" w:rsidRPr="00486E4C" w:rsidRDefault="00486E4C" w:rsidP="00486E4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>Сегментация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Segmentation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аймақтарға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62A9DC99" w14:textId="77777777" w:rsidR="00486E4C" w:rsidRPr="00486E4C" w:rsidRDefault="00486E4C" w:rsidP="00486E4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Функциялар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ерекшелеу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Feature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Extraction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2980C960" w14:textId="77777777" w:rsidR="00486E4C" w:rsidRPr="00486E4C" w:rsidRDefault="00486E4C" w:rsidP="00486E4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>Классификация (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Classification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>)</w:t>
      </w:r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категорияларға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4CBA4203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6.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Қолданбалы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486E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</w:p>
    <w:p w14:paraId="232B6A61" w14:textId="77777777" w:rsidR="00F43C3A" w:rsidRPr="00F43C3A" w:rsidRDefault="00F43C3A" w:rsidP="00F43C3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Қолданбалы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жүйелер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бағдарламалық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қамтамасыз</w:t>
      </w:r>
      <w:proofErr w:type="spellEnd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7"/>
          <w:szCs w:val="27"/>
          <w:lang w:eastAsia="ru-RU"/>
        </w:rPr>
        <w:t>ету</w:t>
      </w:r>
      <w:proofErr w:type="spellEnd"/>
    </w:p>
    <w:p w14:paraId="539CC562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әртүрлі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бағдарламалық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құралдар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қолданбалы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жүйелер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құралдар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түзету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ғылыми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инженерлік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машиналық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оқыту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аналитикалық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визуализация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сияқты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түрлі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міндеттерді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орындайды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404D18A5" w14:textId="77777777" w:rsidR="00F43C3A" w:rsidRPr="00F43C3A" w:rsidRDefault="00F43C3A" w:rsidP="00F43C3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pict w14:anchorId="2BA50E8C">
          <v:rect id="_x0000_i1028" style="width:0;height:1.5pt" o:hralign="center" o:hrstd="t" o:hr="t" fillcolor="#a0a0a0" stroked="f"/>
        </w:pict>
      </w:r>
    </w:p>
    <w:p w14:paraId="68B735D3" w14:textId="77777777" w:rsidR="00F43C3A" w:rsidRPr="00F43C3A" w:rsidRDefault="00F43C3A" w:rsidP="00F43C3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Графикалық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өңдеу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бағдарламалары</w:t>
      </w:r>
      <w:proofErr w:type="spellEnd"/>
    </w:p>
    <w:p w14:paraId="5798CF38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бағдарламалар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түзету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жақсарту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манипуляциялау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дизайн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1C5282F1" w14:textId="77777777" w:rsidR="00F43C3A" w:rsidRPr="00F43C3A" w:rsidRDefault="00F43C3A" w:rsidP="00F43C3A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Adobe Photoshop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әлемдегі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ең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танымал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кәсіби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редактор. Ол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түс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түзету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сүзгілерді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деңгейлі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дизайн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жасауға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Photoshop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қабаттық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қолдайды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күрделі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композициялармен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істеуді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жеңілдетеді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24762B19" w14:textId="77777777" w:rsidR="00F43C3A" w:rsidRPr="00F43C3A" w:rsidRDefault="00F43C3A" w:rsidP="00F43C3A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GIMP (GNU Image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Manipulation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Program)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кодты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тегін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бағдарлама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 Photoshop-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тың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баламасы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ретінде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фильтрлерді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дизайн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мүмкіндігін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646025DD" w14:textId="77777777" w:rsidR="00F43C3A" w:rsidRPr="00F43C3A" w:rsidRDefault="00F43C3A" w:rsidP="00F43C3A">
      <w:pPr>
        <w:spacing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салалары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57996993" w14:textId="77777777" w:rsidR="00F43C3A" w:rsidRPr="00F43C3A" w:rsidRDefault="00F43C3A" w:rsidP="00F43C3A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t xml:space="preserve">Дизайн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жарнама</w:t>
      </w:r>
      <w:proofErr w:type="spellEnd"/>
    </w:p>
    <w:p w14:paraId="33740186" w14:textId="77777777" w:rsidR="00F43C3A" w:rsidRPr="00F43C3A" w:rsidRDefault="00F43C3A" w:rsidP="00F43C3A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Фотосуреттерді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ретушь</w:t>
      </w:r>
    </w:p>
    <w:p w14:paraId="046B3259" w14:textId="77777777" w:rsidR="00F43C3A" w:rsidRPr="00F43C3A" w:rsidRDefault="00F43C3A" w:rsidP="00F43C3A">
      <w:pPr>
        <w:numPr>
          <w:ilvl w:val="0"/>
          <w:numId w:val="18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t xml:space="preserve">Веб-дизайн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иллюстрациялар</w:t>
      </w:r>
      <w:proofErr w:type="spellEnd"/>
    </w:p>
    <w:p w14:paraId="1F772A72" w14:textId="77777777" w:rsidR="00F43C3A" w:rsidRPr="00F43C3A" w:rsidRDefault="00F43C3A" w:rsidP="00F43C3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pict w14:anchorId="762BEDB1">
          <v:rect id="_x0000_i1029" style="width:0;height:1.5pt" o:hralign="center" o:hrstd="t" o:hr="t" fillcolor="#a0a0a0" stroked="f"/>
        </w:pict>
      </w:r>
    </w:p>
    <w:p w14:paraId="39A40E0A" w14:textId="77777777" w:rsidR="00F43C3A" w:rsidRPr="00F43C3A" w:rsidRDefault="00F43C3A" w:rsidP="00F43C3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2.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Ғылыми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инженерлік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кескін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өңдеу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құралдары</w:t>
      </w:r>
      <w:proofErr w:type="spellEnd"/>
    </w:p>
    <w:p w14:paraId="65BB5911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бағдарламалар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мақсатында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5F54CD4C" w14:textId="77777777" w:rsidR="00F43C3A" w:rsidRPr="00F43C3A" w:rsidRDefault="00F43C3A" w:rsidP="00F43C3A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MATLAB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техникалық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есептеулерге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қуатты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құрал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Онда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арнайы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Image Processing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Toolbox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модулі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бар. MATLAB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сүзгілеу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объектілерді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сегментациялау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жиектерді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5354BA92" w14:textId="77777777" w:rsidR="00F43C3A" w:rsidRPr="00F43C3A" w:rsidRDefault="00F43C3A" w:rsidP="00F43C3A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OpenCV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(Open Source Computer Vision Library)</w:t>
      </w:r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компьютерлік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көру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кодты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кітапхана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OpenCV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Python, C++, Java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тілдерінде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қолжетімді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объектілерді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қозғалысты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сияқты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күрделі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орындайды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74864455" w14:textId="77777777" w:rsidR="00F43C3A" w:rsidRPr="00F43C3A" w:rsidRDefault="00F43C3A" w:rsidP="00F43C3A">
      <w:pPr>
        <w:spacing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салалары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5DF87427" w14:textId="77777777" w:rsidR="00F43C3A" w:rsidRPr="00F43C3A" w:rsidRDefault="00F43C3A" w:rsidP="00F43C3A">
      <w:pPr>
        <w:numPr>
          <w:ilvl w:val="0"/>
          <w:numId w:val="20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t xml:space="preserve">Медицина (МРТ, рентген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)</w:t>
      </w:r>
    </w:p>
    <w:p w14:paraId="1F8CDF00" w14:textId="77777777" w:rsidR="00F43C3A" w:rsidRPr="00F43C3A" w:rsidRDefault="00F43C3A" w:rsidP="00F43C3A">
      <w:pPr>
        <w:numPr>
          <w:ilvl w:val="0"/>
          <w:numId w:val="20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Өнеркәсіптік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сапаны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</w:p>
    <w:p w14:paraId="7A53CCE0" w14:textId="77777777" w:rsidR="00F43C3A" w:rsidRPr="00F43C3A" w:rsidRDefault="00F43C3A" w:rsidP="00F43C3A">
      <w:pPr>
        <w:numPr>
          <w:ilvl w:val="0"/>
          <w:numId w:val="20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жүйелердегі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компьютерлік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көру</w:t>
      </w:r>
      <w:proofErr w:type="spellEnd"/>
    </w:p>
    <w:p w14:paraId="7BE7B152" w14:textId="77777777" w:rsidR="00F43C3A" w:rsidRPr="00F43C3A" w:rsidRDefault="00F43C3A" w:rsidP="00F43C3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pict w14:anchorId="0E4AA188">
          <v:rect id="_x0000_i1030" style="width:0;height:1.5pt" o:hralign="center" o:hrstd="t" o:hr="t" fillcolor="#a0a0a0" stroked="f"/>
        </w:pict>
      </w:r>
    </w:p>
    <w:p w14:paraId="028A920D" w14:textId="77777777" w:rsidR="00F43C3A" w:rsidRPr="00F43C3A" w:rsidRDefault="00F43C3A" w:rsidP="00F43C3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3.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Машиналық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оқытуға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арналған</w:t>
      </w:r>
      <w:proofErr w:type="spellEnd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36"/>
          <w:szCs w:val="36"/>
          <w:lang w:eastAsia="ru-RU"/>
        </w:rPr>
        <w:t>құралдар</w:t>
      </w:r>
      <w:proofErr w:type="spellEnd"/>
    </w:p>
    <w:p w14:paraId="1911A88F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платформалар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классификациялау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сегментациялау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нейрондық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желілерді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557C3364" w14:textId="77777777" w:rsidR="00F43C3A" w:rsidRPr="00F43C3A" w:rsidRDefault="00F43C3A" w:rsidP="00F43C3A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TensorFlow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Google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компаниясы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әзірлеген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машиналық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оқыту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кітапханасы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TensorFlow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нейрондық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желілерді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оқыту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компьютерлік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көру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жүйелерін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кеңінен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18CC7213" w14:textId="77777777" w:rsidR="00F43C3A" w:rsidRPr="00F43C3A" w:rsidRDefault="00F43C3A" w:rsidP="00F43C3A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PyTorch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– Facebook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компаниясы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әзірлеген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терең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оқыту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кітапханасы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TensorFlow-ға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балама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ретінде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PyTorch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өңдеуге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гибридті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модельдер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құруға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>.</w:t>
      </w:r>
    </w:p>
    <w:p w14:paraId="76410835" w14:textId="77777777" w:rsidR="00F43C3A" w:rsidRPr="00F43C3A" w:rsidRDefault="00F43C3A" w:rsidP="00F43C3A">
      <w:pPr>
        <w:spacing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салалары</w:t>
      </w:r>
      <w:proofErr w:type="spellEnd"/>
      <w:r w:rsidRPr="00F43C3A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37E4DA22" w14:textId="77777777" w:rsidR="00F43C3A" w:rsidRPr="00F43C3A" w:rsidRDefault="00F43C3A" w:rsidP="00F43C3A">
      <w:pPr>
        <w:numPr>
          <w:ilvl w:val="0"/>
          <w:numId w:val="22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43C3A">
        <w:rPr>
          <w:rFonts w:eastAsia="Times New Roman" w:cs="Times New Roman"/>
          <w:sz w:val="24"/>
          <w:szCs w:val="24"/>
          <w:lang w:eastAsia="ru-RU"/>
        </w:rPr>
        <w:t>Бет-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әлпетті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тану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идентификациялау</w:t>
      </w:r>
      <w:proofErr w:type="spellEnd"/>
    </w:p>
    <w:p w14:paraId="61910E03" w14:textId="77777777" w:rsidR="00F43C3A" w:rsidRPr="00F43C3A" w:rsidRDefault="00F43C3A" w:rsidP="00F43C3A">
      <w:pPr>
        <w:numPr>
          <w:ilvl w:val="0"/>
          <w:numId w:val="22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Медициналық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диагностикалау</w:t>
      </w:r>
      <w:proofErr w:type="spellEnd"/>
    </w:p>
    <w:p w14:paraId="14D363C2" w14:textId="77777777" w:rsidR="00F43C3A" w:rsidRPr="00F43C3A" w:rsidRDefault="00F43C3A" w:rsidP="00F43C3A">
      <w:pPr>
        <w:numPr>
          <w:ilvl w:val="0"/>
          <w:numId w:val="22"/>
        </w:numPr>
        <w:spacing w:before="100" w:beforeAutospacing="1" w:after="100" w:afterAutospacing="1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  <w:r w:rsidRPr="00F43C3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 w:val="24"/>
          <w:szCs w:val="24"/>
          <w:lang w:eastAsia="ru-RU"/>
        </w:rPr>
        <w:t>жүйелері</w:t>
      </w:r>
      <w:proofErr w:type="spellEnd"/>
    </w:p>
    <w:p w14:paraId="0CA6B4B7" w14:textId="1F46335C" w:rsidR="00F43C3A" w:rsidRPr="00F43C3A" w:rsidRDefault="00F43C3A" w:rsidP="00F43C3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6F7C89" w14:textId="77777777" w:rsidR="00F43C3A" w:rsidRPr="00F43C3A" w:rsidRDefault="00F43C3A" w:rsidP="00F43C3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Аналитикалық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визуализация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</w:p>
    <w:p w14:paraId="3A098C7B" w14:textId="77777777" w:rsidR="00F43C3A" w:rsidRPr="00F43C3A" w:rsidRDefault="00F43C3A" w:rsidP="00F43C3A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мақсатта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деректермен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:</w:t>
      </w:r>
    </w:p>
    <w:p w14:paraId="1B5F1624" w14:textId="77777777" w:rsidR="00F43C3A" w:rsidRPr="00F43C3A" w:rsidRDefault="00F43C3A" w:rsidP="00F43C3A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b/>
          <w:bCs/>
          <w:szCs w:val="28"/>
          <w:lang w:eastAsia="ru-RU"/>
        </w:rPr>
        <w:t>Power BI</w:t>
      </w:r>
      <w:r w:rsidRPr="00F43C3A">
        <w:rPr>
          <w:rFonts w:eastAsia="Times New Roman" w:cs="Times New Roman"/>
          <w:szCs w:val="28"/>
          <w:lang w:eastAsia="ru-RU"/>
        </w:rPr>
        <w:t xml:space="preserve"> – Microsoft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әзірлеген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өңдеп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есептер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29E1132F" w14:textId="77777777" w:rsidR="00F43C3A" w:rsidRPr="00F43C3A" w:rsidRDefault="00F43C3A" w:rsidP="00F43C3A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Tableau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визуалдау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Tableau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алынған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графиктер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есептер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>.</w:t>
      </w:r>
    </w:p>
    <w:p w14:paraId="3AA9BD14" w14:textId="77777777" w:rsidR="00F43C3A" w:rsidRPr="00F43C3A" w:rsidRDefault="00F43C3A" w:rsidP="00F43C3A">
      <w:pPr>
        <w:spacing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F43C3A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CC77B4A" w14:textId="77777777" w:rsidR="00F43C3A" w:rsidRPr="00F43C3A" w:rsidRDefault="00F43C3A" w:rsidP="00F43C3A">
      <w:pPr>
        <w:numPr>
          <w:ilvl w:val="0"/>
          <w:numId w:val="24"/>
        </w:numPr>
        <w:spacing w:before="100" w:beforeAutospacing="1" w:after="100" w:afterAutospacing="1"/>
        <w:ind w:left="1440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lastRenderedPageBreak/>
        <w:t>Маркетингтік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зерттеулер</w:t>
      </w:r>
      <w:proofErr w:type="spellEnd"/>
    </w:p>
    <w:p w14:paraId="2BD18340" w14:textId="77777777" w:rsidR="00F43C3A" w:rsidRPr="00F43C3A" w:rsidRDefault="00F43C3A" w:rsidP="00F43C3A">
      <w:pPr>
        <w:numPr>
          <w:ilvl w:val="0"/>
          <w:numId w:val="24"/>
        </w:numPr>
        <w:spacing w:before="100" w:beforeAutospacing="1" w:after="100" w:afterAutospacing="1"/>
        <w:ind w:left="1440"/>
        <w:rPr>
          <w:rFonts w:eastAsia="Times New Roman" w:cs="Times New Roman"/>
          <w:szCs w:val="28"/>
          <w:lang w:eastAsia="ru-RU"/>
        </w:rPr>
      </w:pPr>
      <w:r w:rsidRPr="00F43C3A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жоспарлау</w:t>
      </w:r>
      <w:proofErr w:type="spellEnd"/>
    </w:p>
    <w:p w14:paraId="1FA4FF06" w14:textId="77777777" w:rsidR="00F43C3A" w:rsidRPr="00F43C3A" w:rsidRDefault="00F43C3A" w:rsidP="00F43C3A">
      <w:pPr>
        <w:numPr>
          <w:ilvl w:val="0"/>
          <w:numId w:val="24"/>
        </w:numPr>
        <w:spacing w:before="100" w:beforeAutospacing="1" w:after="100" w:afterAutospacing="1"/>
        <w:ind w:left="1440"/>
        <w:rPr>
          <w:rFonts w:eastAsia="Times New Roman" w:cs="Times New Roman"/>
          <w:szCs w:val="28"/>
          <w:lang w:eastAsia="ru-RU"/>
        </w:rPr>
      </w:pPr>
      <w:proofErr w:type="spellStart"/>
      <w:r w:rsidRPr="00F43C3A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көрсеткіштерді</w:t>
      </w:r>
      <w:proofErr w:type="spellEnd"/>
      <w:r w:rsidRPr="00F43C3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43C3A">
        <w:rPr>
          <w:rFonts w:eastAsia="Times New Roman" w:cs="Times New Roman"/>
          <w:szCs w:val="28"/>
          <w:lang w:eastAsia="ru-RU"/>
        </w:rPr>
        <w:t>визуалдау</w:t>
      </w:r>
      <w:proofErr w:type="spellEnd"/>
    </w:p>
    <w:p w14:paraId="63CE23BC" w14:textId="77777777" w:rsidR="00486E4C" w:rsidRPr="00486E4C" w:rsidRDefault="00486E4C" w:rsidP="00486E4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63DBE2F" w14:textId="77777777" w:rsidR="00486E4C" w:rsidRPr="00486E4C" w:rsidRDefault="00486E4C" w:rsidP="00486E4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—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ғылымның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бағыттарының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жоғарыда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қарастырылған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құрылғылар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дамып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мүмкіндіктерге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86E4C">
        <w:rPr>
          <w:rFonts w:eastAsia="Times New Roman" w:cs="Times New Roman"/>
          <w:szCs w:val="28"/>
          <w:lang w:eastAsia="ru-RU"/>
        </w:rPr>
        <w:t>ашады</w:t>
      </w:r>
      <w:proofErr w:type="spellEnd"/>
      <w:r w:rsidRPr="00486E4C">
        <w:rPr>
          <w:rFonts w:eastAsia="Times New Roman" w:cs="Times New Roman"/>
          <w:szCs w:val="28"/>
          <w:lang w:eastAsia="ru-RU"/>
        </w:rPr>
        <w:t>.</w:t>
      </w:r>
    </w:p>
    <w:p w14:paraId="4C48913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3B7"/>
    <w:multiLevelType w:val="multilevel"/>
    <w:tmpl w:val="479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3B98"/>
    <w:multiLevelType w:val="multilevel"/>
    <w:tmpl w:val="DB4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B453B"/>
    <w:multiLevelType w:val="multilevel"/>
    <w:tmpl w:val="6598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C061B"/>
    <w:multiLevelType w:val="multilevel"/>
    <w:tmpl w:val="B36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84B8D"/>
    <w:multiLevelType w:val="multilevel"/>
    <w:tmpl w:val="56A8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F1011"/>
    <w:multiLevelType w:val="multilevel"/>
    <w:tmpl w:val="281C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F1D46"/>
    <w:multiLevelType w:val="multilevel"/>
    <w:tmpl w:val="7C54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62549"/>
    <w:multiLevelType w:val="multilevel"/>
    <w:tmpl w:val="3D3E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04216"/>
    <w:multiLevelType w:val="multilevel"/>
    <w:tmpl w:val="237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50202"/>
    <w:multiLevelType w:val="multilevel"/>
    <w:tmpl w:val="6E16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52BBC"/>
    <w:multiLevelType w:val="multilevel"/>
    <w:tmpl w:val="1858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81460"/>
    <w:multiLevelType w:val="multilevel"/>
    <w:tmpl w:val="B62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26204"/>
    <w:multiLevelType w:val="multilevel"/>
    <w:tmpl w:val="22E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3CA0"/>
    <w:multiLevelType w:val="multilevel"/>
    <w:tmpl w:val="0F72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276C0"/>
    <w:multiLevelType w:val="multilevel"/>
    <w:tmpl w:val="019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93C6C"/>
    <w:multiLevelType w:val="multilevel"/>
    <w:tmpl w:val="7EA2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80BDC"/>
    <w:multiLevelType w:val="multilevel"/>
    <w:tmpl w:val="75D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42831"/>
    <w:multiLevelType w:val="multilevel"/>
    <w:tmpl w:val="458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F322E"/>
    <w:multiLevelType w:val="multilevel"/>
    <w:tmpl w:val="7DF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21600"/>
    <w:multiLevelType w:val="multilevel"/>
    <w:tmpl w:val="6AC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43A19"/>
    <w:multiLevelType w:val="multilevel"/>
    <w:tmpl w:val="2846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22A5B"/>
    <w:multiLevelType w:val="multilevel"/>
    <w:tmpl w:val="4AFC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D53C3"/>
    <w:multiLevelType w:val="multilevel"/>
    <w:tmpl w:val="2876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816E4"/>
    <w:multiLevelType w:val="multilevel"/>
    <w:tmpl w:val="B68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719">
    <w:abstractNumId w:val="1"/>
  </w:num>
  <w:num w:numId="2" w16cid:durableId="976033242">
    <w:abstractNumId w:val="5"/>
  </w:num>
  <w:num w:numId="3" w16cid:durableId="162595566">
    <w:abstractNumId w:val="2"/>
  </w:num>
  <w:num w:numId="4" w16cid:durableId="663047113">
    <w:abstractNumId w:val="9"/>
  </w:num>
  <w:num w:numId="5" w16cid:durableId="1313565292">
    <w:abstractNumId w:val="7"/>
  </w:num>
  <w:num w:numId="6" w16cid:durableId="1201045342">
    <w:abstractNumId w:val="21"/>
  </w:num>
  <w:num w:numId="7" w16cid:durableId="22875204">
    <w:abstractNumId w:val="4"/>
  </w:num>
  <w:num w:numId="8" w16cid:durableId="1599024559">
    <w:abstractNumId w:val="13"/>
  </w:num>
  <w:num w:numId="9" w16cid:durableId="1573809175">
    <w:abstractNumId w:val="0"/>
  </w:num>
  <w:num w:numId="10" w16cid:durableId="1927300013">
    <w:abstractNumId w:val="22"/>
  </w:num>
  <w:num w:numId="11" w16cid:durableId="1651472226">
    <w:abstractNumId w:val="23"/>
  </w:num>
  <w:num w:numId="12" w16cid:durableId="2107145312">
    <w:abstractNumId w:val="14"/>
  </w:num>
  <w:num w:numId="13" w16cid:durableId="1071007096">
    <w:abstractNumId w:val="17"/>
  </w:num>
  <w:num w:numId="14" w16cid:durableId="901260620">
    <w:abstractNumId w:val="15"/>
  </w:num>
  <w:num w:numId="15" w16cid:durableId="1078820729">
    <w:abstractNumId w:val="8"/>
  </w:num>
  <w:num w:numId="16" w16cid:durableId="1946888261">
    <w:abstractNumId w:val="6"/>
  </w:num>
  <w:num w:numId="17" w16cid:durableId="173033175">
    <w:abstractNumId w:val="18"/>
  </w:num>
  <w:num w:numId="18" w16cid:durableId="2060082179">
    <w:abstractNumId w:val="19"/>
  </w:num>
  <w:num w:numId="19" w16cid:durableId="994147984">
    <w:abstractNumId w:val="3"/>
  </w:num>
  <w:num w:numId="20" w16cid:durableId="2018575788">
    <w:abstractNumId w:val="11"/>
  </w:num>
  <w:num w:numId="21" w16cid:durableId="762336060">
    <w:abstractNumId w:val="10"/>
  </w:num>
  <w:num w:numId="22" w16cid:durableId="1952392115">
    <w:abstractNumId w:val="20"/>
  </w:num>
  <w:num w:numId="23" w16cid:durableId="2124496201">
    <w:abstractNumId w:val="12"/>
  </w:num>
  <w:num w:numId="24" w16cid:durableId="987637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6"/>
    <w:rsid w:val="00486E4C"/>
    <w:rsid w:val="006C0B77"/>
    <w:rsid w:val="008242FF"/>
    <w:rsid w:val="00870751"/>
    <w:rsid w:val="00922C48"/>
    <w:rsid w:val="00B915B7"/>
    <w:rsid w:val="00E36561"/>
    <w:rsid w:val="00EA59DF"/>
    <w:rsid w:val="00EE4070"/>
    <w:rsid w:val="00EF25DC"/>
    <w:rsid w:val="00F12C76"/>
    <w:rsid w:val="00F43C3A"/>
    <w:rsid w:val="00F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EC6C"/>
  <w15:chartTrackingRefBased/>
  <w15:docId w15:val="{D7D2C36A-B171-455C-802F-134A1958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B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B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B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2B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2B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2B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2B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2B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2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B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2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B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B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B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2B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2025-02-16T17:47:00Z</dcterms:created>
  <dcterms:modified xsi:type="dcterms:W3CDTF">2025-02-16T18:32:00Z</dcterms:modified>
</cp:coreProperties>
</file>