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8924" w14:textId="095EF1A3" w:rsidR="00627998" w:rsidRDefault="00627998" w:rsidP="00627998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1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5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D85EAD">
        <w:rPr>
          <w:rFonts w:ascii="TimesNewRomanPSMT" w:hAnsi="TimesNewRomanPSMT"/>
          <w:color w:val="000000"/>
          <w:szCs w:val="28"/>
          <w:lang w:val="kk-KZ"/>
        </w:rPr>
        <w:t>Есеп беру күнінен кейінгі оқиғалар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5F63EFFC" w14:textId="77777777" w:rsidR="00627998" w:rsidRDefault="00627998" w:rsidP="00627998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17FA8272" w14:textId="77777777" w:rsidR="00627998" w:rsidRDefault="00627998" w:rsidP="00627998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D85EAD">
        <w:rPr>
          <w:rFonts w:ascii="TimesNewRomanPSMT" w:hAnsi="TimesNewRomanPSMT"/>
          <w:color w:val="000000"/>
          <w:szCs w:val="28"/>
          <w:lang w:val="kk-KZ"/>
        </w:rPr>
        <w:t>Есеп беру күнінен кейінгі оқиғалар</w:t>
      </w:r>
      <w:r>
        <w:rPr>
          <w:rFonts w:ascii="TimesNewRomanPSMT" w:hAnsi="TimesNewRomanPSMT"/>
          <w:color w:val="000000"/>
          <w:szCs w:val="28"/>
          <w:lang w:val="kk-KZ"/>
        </w:rPr>
        <w:t xml:space="preserve"> жайлы түсінік беру</w:t>
      </w:r>
    </w:p>
    <w:p w14:paraId="006B1879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27969142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564F4667" w14:textId="77777777" w:rsidR="00627998" w:rsidRPr="0014336B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24EA4">
        <w:rPr>
          <w:rFonts w:ascii="TimesNewRomanPS-BoldMT" w:hAnsi="TimesNewRomanPS-BoldMT"/>
          <w:bCs/>
          <w:color w:val="000000"/>
          <w:szCs w:val="28"/>
          <w:lang w:val="kk-KZ"/>
        </w:rPr>
        <w:t>Есеп беру күнінен кейінгі туындаған түзететін оқиғалар</w:t>
      </w:r>
    </w:p>
    <w:p w14:paraId="3A4CAFF4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024EA4">
        <w:rPr>
          <w:rFonts w:ascii="TimesNewRomanPS-BoldMT" w:hAnsi="TimesNewRomanPS-BoldMT"/>
          <w:bCs/>
          <w:color w:val="000000"/>
          <w:szCs w:val="28"/>
          <w:lang w:val="kk-KZ"/>
        </w:rPr>
        <w:t>Есеп беру күнінен кейінгі туындаған түзетпейтін оқиғалар</w:t>
      </w:r>
    </w:p>
    <w:p w14:paraId="2B06ED39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3. </w:t>
      </w:r>
      <w:r w:rsidRPr="00024EA4">
        <w:rPr>
          <w:rFonts w:ascii="TimesNewRomanPS-BoldMT" w:hAnsi="TimesNewRomanPS-BoldMT"/>
          <w:bCs/>
          <w:color w:val="000000"/>
          <w:szCs w:val="28"/>
          <w:lang w:val="kk-KZ"/>
        </w:rPr>
        <w:t>Дивидендтер немесе ұқсас үлестірулер</w:t>
      </w:r>
    </w:p>
    <w:p w14:paraId="43C7656B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</w:p>
    <w:p w14:paraId="538A9F2C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Стандарттың мақсаты – келесілерді бекіту болып табылады:</w:t>
      </w:r>
    </w:p>
    <w:p w14:paraId="08094B02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a) Есеп беру күнінен кейінгі оқиғаларды есептегенде қай жағдайларда субъект қаржылық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есептілікті;</w:t>
      </w:r>
    </w:p>
    <w:p w14:paraId="678F2E0B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b) Субъектінің қаржылық есептілікті шығаруға бекіту күні және есеп беру күнінен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кейінгі оқиғалар туралы беруге тиісті ақпаратты түзетуге тиіс екені.</w:t>
      </w:r>
    </w:p>
    <w:p w14:paraId="7AE63D2D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Сондай-ақ, Стандарт егер есеп беру күнінен кейінгі оқиғалар қызмет үздіксіздігіне жол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берудің негізсіздігін көрсетсе, субъектінің өз қаржылық есептілігін қызмет үздіксіздігіне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жол беру негізінде құрмауын талап етеді.</w:t>
      </w:r>
    </w:p>
    <w:p w14:paraId="6DC5D7BD" w14:textId="77777777" w:rsidR="00627998" w:rsidRPr="00F460CC" w:rsidRDefault="00627998" w:rsidP="00627998">
      <w:pPr>
        <w:pStyle w:val="11"/>
        <w:widowControl w:val="0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Қолдану аясы. Қаржылық есептілікті есептеу әдісімен құратын және тапсыратын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субъект осы Стандартты есеп беру күнінен кейінгі оқиғаларды есептеу және ашып көрсету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үшін қолдануы тиіс. Осы Стандарт мемлекеттік коммерциялық кәсіпорындардан басқа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барлық қоғамдық сектор субъектілеріне қолданылады.</w:t>
      </w:r>
    </w:p>
    <w:p w14:paraId="59F2592E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ҚС ХҚЕС К жариялаған Қоғамдық сектор үшін қаржылық есептіліктің халықаралық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стандартының алғы сөзінде мемлекеттік коммерциялық кәсіпорындар (МКК) ҚЕХСК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шығарған ҚЕХС қолданатынын айқындайды. «МКК» терминінің анықтамасы «Қаржылық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есептілікті ұсыну» 1 ҚС ХҚЕС көрсетілген.</w:t>
      </w:r>
    </w:p>
    <w:p w14:paraId="41542CBA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Стандартта келесі терминдер төмендегідей мағынада қолданылады:</w:t>
      </w:r>
    </w:p>
    <w:p w14:paraId="5544AE71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Есеп беру күнінен кейінгі оқиғалар – есеп беру күні мен қаржылық есептілікті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шығаруға рұқсат етілген күн арасындағы болатын жағымды және жағымсыз оқиғалар:</w:t>
      </w:r>
    </w:p>
    <w:p w14:paraId="46E4FAD8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a) Есеп беру күніндегі болған (есеп беру күнінен кейінгі туындаған түзететін оқиғалар)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 xml:space="preserve">жағдайлардың барын растайтындар; </w:t>
      </w:r>
    </w:p>
    <w:p w14:paraId="5978097B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b) Есеп беру күнінен кейінгі туындаған жағдайларды (есеп беру күнінен кейінгі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туындаған түзетпейтін оқиғалар) көрсететіндері.</w:t>
      </w:r>
    </w:p>
    <w:p w14:paraId="6D10ABCB" w14:textId="77777777" w:rsidR="00627998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ұсынысқа бекіту. Есеп беру күнінен кейінгі оқиғаларды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анықтау үшін есеп беру күнін, сондай-а қаржылық есептілікті шығаруға бекіту күнін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анықтап алған жөн. Есеп беру күні дегеніміз қаржылық есептілік жататын есептілік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кезеңінің соңғы күні. Қаржылық есептілікті шығаруға бекіту күніне есептіліктің соңғы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нысанын беруге өкілетті тұлға немесе органның бекітуін алған күн жатқызылады. Осы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соңғы есептілік бойынша аудиторлық қорытынды жасалады. Есеп беру күнінен кейінгі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lastRenderedPageBreak/>
        <w:t>оқиғаларға есеп беру күні мен қаржылық есептілікті шығаруға рұқсат етілген күн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арасындағы болатын жағымды және жағымсыз оқиғалар,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:</w:t>
      </w:r>
    </w:p>
    <w:p w14:paraId="339B6B1B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а) бұлар таза пайда/шығын туралы көпшілікке хабарланғанынан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;</w:t>
      </w:r>
    </w:p>
    <w:p w14:paraId="6C68B50F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b) бақылауға алынған субъектінің қаржылық есептілігі бекітілуінен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;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</w:p>
    <w:p w14:paraId="07F700E1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c) қаржылық есептілікке жататын басқа таңдамалы ақпараттардың жариялануынан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кейін орын алған болса да.</w:t>
      </w:r>
    </w:p>
    <w:p w14:paraId="29E9781A" w14:textId="77777777" w:rsidR="00627998" w:rsidRPr="00F460CC" w:rsidRDefault="00627998" w:rsidP="00627998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шығаруға дайындауға қатысты үрдіс ел ішіндегі, сонымен қатар,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әр елдердегі субъектілердің әрқандай типіне қарай ерекшеленуі мүмкін. Ол субъектінің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сипатына, нұсқаулық құрылымына, осы субъектіге қатысты нормативті талаптар мен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құру мен соңғы рәсімдеу тәртіптерімен де байланысты бола алады.</w:t>
      </w:r>
    </w:p>
    <w:p w14:paraId="7CB15868" w14:textId="77777777" w:rsidR="00627998" w:rsidRPr="00E73AA0" w:rsidRDefault="00627998" w:rsidP="00627998">
      <w:pPr>
        <w:pStyle w:val="11"/>
        <w:widowControl w:val="0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Жекелеген мемлекеттік ведомстволардың қаржылық есептілігін бекіту жауапкершілігі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орталық қаржылық басқарма (немесе ревизор, бас бухгалтер сияқты қаржылық жоғары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лауазымды тұлға/бухгалтерлік қызметкер) басшылығында бола алады. Шоғырландырылған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бекіту жауапкершілігі жалпы бірлесе орталық қаржылық басқарма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басшысына (немесе ревизор, бас бухгалтер сияқты қаржылық жоғары лауазымды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тұлға/бухгалтерлік қызметкер) немесе Қаржы министріне (немесе тең дәрежедегі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шенеунікке) тиесілі бола алады. Кейбір жағдайларда бекіту үрдісінің соңғы сатысы ретінде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субъект өзінің қаржылық есептілігін басқа органға тапсыруға міндетті (мысалы, парламент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немесе жергілікті кеңес сияқты заң шығарушы органға). Басқа жағдайларда басқа органға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есептілік ұсыну тек ресми немесе рәсімдік тәртіп бола алады және осы басқа орган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есептілікке өзгерістер енгізуді талап ету өкілеттілігіне ие болмауы мүмкін. Қаржылық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F460CC">
        <w:rPr>
          <w:rFonts w:ascii="TimesNewRomanPS-BoldMT" w:hAnsi="TimesNewRomanPS-BoldMT"/>
          <w:bCs/>
          <w:color w:val="000000"/>
          <w:szCs w:val="28"/>
          <w:lang w:val="kk-KZ"/>
        </w:rPr>
        <w:t>есептілікті шығаруға бекіту күні нақты елдің мәнмәтінінде анықталады.</w:t>
      </w:r>
    </w:p>
    <w:p w14:paraId="3A997B41" w14:textId="77777777" w:rsidR="00627998" w:rsidRDefault="00627998" w:rsidP="00627998">
      <w:pPr>
        <w:pStyle w:val="11"/>
        <w:ind w:left="1219"/>
        <w:jc w:val="both"/>
        <w:rPr>
          <w:rFonts w:ascii="Times New Roman" w:hAnsi="Times New Roman"/>
          <w:b/>
          <w:sz w:val="24"/>
          <w:lang w:val="kk-KZ"/>
        </w:rPr>
      </w:pPr>
    </w:p>
    <w:p w14:paraId="2D1A2EA0" w14:textId="77777777" w:rsidR="00627998" w:rsidRDefault="00627998" w:rsidP="00627998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607B8AF0" w14:textId="77777777" w:rsidR="00627998" w:rsidRPr="00024EA4" w:rsidRDefault="00627998" w:rsidP="00627998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263B72">
        <w:rPr>
          <w:rFonts w:ascii="TimesNewRomanPSMT" w:hAnsi="TimesNewRomanPSMT"/>
          <w:color w:val="000000"/>
          <w:szCs w:val="28"/>
          <w:lang w:val="kk-KZ"/>
        </w:rPr>
        <w:t>Есептілікті ұсынуға бекіту күнін ашып көрсету</w:t>
      </w:r>
    </w:p>
    <w:p w14:paraId="7E8DF8B8" w14:textId="77777777" w:rsidR="00627998" w:rsidRPr="00024EA4" w:rsidRDefault="00627998" w:rsidP="00627998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263B72">
        <w:rPr>
          <w:rFonts w:ascii="TimesNewRomanPSMT" w:hAnsi="TimesNewRomanPSMT"/>
          <w:color w:val="000000"/>
          <w:szCs w:val="28"/>
          <w:lang w:val="kk-KZ"/>
        </w:rPr>
        <w:t>Есеп беру күнінде болған жағдайлар туралы ашып көрсетулерді нақтылау</w:t>
      </w:r>
    </w:p>
    <w:p w14:paraId="278B9B63" w14:textId="77777777" w:rsidR="00627998" w:rsidRDefault="00627998" w:rsidP="00627998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263B72">
        <w:rPr>
          <w:rFonts w:ascii="TimesNewRomanPSMT" w:hAnsi="TimesNewRomanPSMT"/>
          <w:color w:val="000000"/>
          <w:szCs w:val="28"/>
          <w:lang w:val="kk-KZ"/>
        </w:rPr>
        <w:t>Есеп беру күнінен кейінгі туындаған түзетпейтін оқиғаларды ашып көрсету</w:t>
      </w:r>
    </w:p>
    <w:p w14:paraId="31D4F836" w14:textId="77777777" w:rsidR="00627998" w:rsidRPr="00024EA4" w:rsidRDefault="00627998" w:rsidP="00627998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263B72">
        <w:rPr>
          <w:rFonts w:ascii="TimesNewRomanPSMT" w:hAnsi="TimesNewRomanPSMT"/>
          <w:color w:val="000000"/>
          <w:szCs w:val="28"/>
          <w:lang w:val="kk-KZ"/>
        </w:rPr>
        <w:t>Мойындау жəне бағалау</w:t>
      </w:r>
    </w:p>
    <w:p w14:paraId="524301E3" w14:textId="77777777" w:rsidR="00627998" w:rsidRDefault="00627998" w:rsidP="00627998"/>
    <w:p w14:paraId="51FE8604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94123"/>
    <w:multiLevelType w:val="hybridMultilevel"/>
    <w:tmpl w:val="41FA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66"/>
    <w:rsid w:val="003E4FE7"/>
    <w:rsid w:val="00627998"/>
    <w:rsid w:val="00673466"/>
    <w:rsid w:val="00CB0C24"/>
    <w:rsid w:val="00D876DE"/>
    <w:rsid w:val="00E051EC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DD93"/>
  <w15:chartTrackingRefBased/>
  <w15:docId w15:val="{26130D46-CEAF-490E-86A4-BBB8E634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4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4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4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4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4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4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4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4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4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4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466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627998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2024-10-29T13:55:00Z</dcterms:created>
  <dcterms:modified xsi:type="dcterms:W3CDTF">2024-10-29T13:56:00Z</dcterms:modified>
</cp:coreProperties>
</file>