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DB278" w14:textId="024EDE19" w:rsidR="005703A5" w:rsidRDefault="005703A5" w:rsidP="005703A5">
      <w:pPr>
        <w:pStyle w:val="11"/>
        <w:ind w:firstLine="709"/>
        <w:jc w:val="both"/>
        <w:rPr>
          <w:rFonts w:ascii="TimesNewRomanPSMT" w:hAnsi="TimesNewRomanPSMT"/>
          <w:color w:val="000000"/>
          <w:szCs w:val="28"/>
          <w:lang w:val="kk-KZ"/>
        </w:rPr>
      </w:pPr>
      <w:r w:rsidRPr="00F82F26">
        <w:rPr>
          <w:rFonts w:ascii="TimesNewRomanPS-BoldMT" w:hAnsi="TimesNewRomanPS-BoldMT"/>
          <w:b/>
          <w:bCs/>
          <w:color w:val="000000"/>
          <w:szCs w:val="28"/>
          <w:lang w:val="kk-KZ"/>
        </w:rPr>
        <w:t xml:space="preserve">Тақырып </w:t>
      </w:r>
      <w:r>
        <w:rPr>
          <w:rFonts w:ascii="TimesNewRomanPS-BoldMT" w:hAnsi="TimesNewRomanPS-BoldMT"/>
          <w:b/>
          <w:bCs/>
          <w:color w:val="000000"/>
          <w:szCs w:val="28"/>
          <w:lang w:val="kk-KZ"/>
        </w:rPr>
        <w:t>1</w:t>
      </w:r>
      <w:r>
        <w:rPr>
          <w:rFonts w:ascii="TimesNewRomanPS-BoldMT" w:hAnsi="TimesNewRomanPS-BoldMT"/>
          <w:b/>
          <w:bCs/>
          <w:color w:val="000000"/>
          <w:szCs w:val="28"/>
          <w:lang w:val="kk-KZ"/>
        </w:rPr>
        <w:t>3</w:t>
      </w:r>
      <w:r w:rsidRPr="00F82F26">
        <w:rPr>
          <w:rFonts w:ascii="TimesNewRomanPS-BoldMT" w:hAnsi="TimesNewRomanPS-BoldMT"/>
          <w:b/>
          <w:bCs/>
          <w:color w:val="000000"/>
          <w:szCs w:val="28"/>
          <w:lang w:val="kk-KZ"/>
        </w:rPr>
        <w:t xml:space="preserve">. </w:t>
      </w:r>
      <w:r w:rsidRPr="009860CC">
        <w:rPr>
          <w:rFonts w:ascii="TimesNewRomanPSMT" w:hAnsi="TimesNewRomanPSMT"/>
          <w:color w:val="000000"/>
          <w:szCs w:val="28"/>
          <w:lang w:val="kk-KZ"/>
        </w:rPr>
        <w:t>Қаржылық есептілікті ұсыну</w:t>
      </w:r>
      <w:r>
        <w:rPr>
          <w:rFonts w:ascii="TimesNewRomanPSMT" w:hAnsi="TimesNewRomanPSMT"/>
          <w:color w:val="000000"/>
          <w:sz w:val="22"/>
          <w:szCs w:val="22"/>
          <w:lang w:val="kk-KZ"/>
        </w:rPr>
        <w:t>.</w:t>
      </w:r>
      <w:r w:rsidRPr="00867FD1">
        <w:rPr>
          <w:rFonts w:ascii="TimesNewRomanPSMT" w:hAnsi="TimesNewRomanPSMT"/>
          <w:color w:val="000000"/>
          <w:szCs w:val="28"/>
          <w:lang w:val="kk-KZ"/>
        </w:rPr>
        <w:t xml:space="preserve"> </w:t>
      </w:r>
    </w:p>
    <w:p w14:paraId="7E449203" w14:textId="77777777" w:rsidR="005703A5" w:rsidRDefault="005703A5" w:rsidP="005703A5">
      <w:pPr>
        <w:pStyle w:val="11"/>
        <w:ind w:firstLine="709"/>
        <w:jc w:val="both"/>
        <w:rPr>
          <w:rFonts w:ascii="TimesNewRomanPS-BoldItalicMT" w:hAnsi="TimesNewRomanPS-BoldItalicMT"/>
          <w:b/>
          <w:bCs/>
          <w:i/>
          <w:iCs/>
          <w:color w:val="000000"/>
          <w:szCs w:val="28"/>
          <w:lang w:val="kk-KZ"/>
        </w:rPr>
      </w:pPr>
    </w:p>
    <w:p w14:paraId="27A276ED" w14:textId="77777777" w:rsidR="005703A5" w:rsidRDefault="005703A5" w:rsidP="005703A5">
      <w:pPr>
        <w:pStyle w:val="11"/>
        <w:ind w:firstLine="709"/>
        <w:jc w:val="both"/>
        <w:rPr>
          <w:rFonts w:ascii="TimesNewRomanPSMT" w:hAnsi="TimesNewRomanPSMT"/>
          <w:color w:val="000000"/>
          <w:szCs w:val="28"/>
          <w:lang w:val="kk-KZ"/>
        </w:rPr>
      </w:pPr>
      <w:r w:rsidRPr="00F82F26">
        <w:rPr>
          <w:rFonts w:ascii="TimesNewRomanPS-BoldItalicMT" w:hAnsi="TimesNewRomanPS-BoldItalicMT"/>
          <w:b/>
          <w:bCs/>
          <w:i/>
          <w:iCs/>
          <w:color w:val="000000"/>
          <w:szCs w:val="28"/>
          <w:lang w:val="kk-KZ"/>
        </w:rPr>
        <w:t xml:space="preserve">Дәрістің мақсаты: </w:t>
      </w:r>
      <w:r w:rsidRPr="009860CC">
        <w:rPr>
          <w:rFonts w:ascii="TimesNewRomanPSMT" w:hAnsi="TimesNewRomanPSMT"/>
          <w:color w:val="000000"/>
          <w:szCs w:val="28"/>
          <w:lang w:val="kk-KZ"/>
        </w:rPr>
        <w:t xml:space="preserve">Қаржылық есептілікті ұсыну </w:t>
      </w:r>
      <w:r>
        <w:rPr>
          <w:rFonts w:ascii="TimesNewRomanPSMT" w:hAnsi="TimesNewRomanPSMT"/>
          <w:color w:val="000000"/>
          <w:szCs w:val="28"/>
          <w:lang w:val="kk-KZ"/>
        </w:rPr>
        <w:t>тәртібін үйрету</w:t>
      </w:r>
    </w:p>
    <w:p w14:paraId="1EB92310" w14:textId="77777777" w:rsidR="005703A5" w:rsidRDefault="005703A5" w:rsidP="005703A5">
      <w:pPr>
        <w:pStyle w:val="11"/>
        <w:ind w:firstLine="709"/>
        <w:jc w:val="both"/>
        <w:rPr>
          <w:rFonts w:ascii="TimesNewRomanPS-BoldMT" w:hAnsi="TimesNewRomanPS-BoldMT"/>
          <w:b/>
          <w:bCs/>
          <w:color w:val="000000"/>
          <w:szCs w:val="28"/>
          <w:lang w:val="kk-KZ"/>
        </w:rPr>
      </w:pPr>
    </w:p>
    <w:p w14:paraId="3F82E2CC" w14:textId="77777777" w:rsidR="005703A5" w:rsidRDefault="005703A5" w:rsidP="005703A5">
      <w:pPr>
        <w:pStyle w:val="11"/>
        <w:ind w:firstLine="709"/>
        <w:jc w:val="both"/>
        <w:rPr>
          <w:rFonts w:ascii="TimesNewRomanPS-BoldMT" w:hAnsi="TimesNewRomanPS-BoldMT"/>
          <w:b/>
          <w:bCs/>
          <w:color w:val="000000"/>
          <w:szCs w:val="28"/>
          <w:lang w:val="kk-KZ"/>
        </w:rPr>
      </w:pPr>
      <w:r w:rsidRPr="00F82F26">
        <w:rPr>
          <w:rFonts w:ascii="TimesNewRomanPS-BoldMT" w:hAnsi="TimesNewRomanPS-BoldMT"/>
          <w:b/>
          <w:bCs/>
          <w:color w:val="000000"/>
          <w:szCs w:val="28"/>
          <w:lang w:val="kk-KZ"/>
        </w:rPr>
        <w:t>Дәріс сабағының жоспары</w:t>
      </w:r>
    </w:p>
    <w:p w14:paraId="1B43789D" w14:textId="77777777" w:rsidR="005703A5" w:rsidRPr="0014336B" w:rsidRDefault="005703A5" w:rsidP="005703A5">
      <w:pPr>
        <w:pStyle w:val="11"/>
        <w:ind w:firstLine="709"/>
        <w:jc w:val="both"/>
        <w:rPr>
          <w:rFonts w:ascii="TimesNewRomanPS-BoldMT" w:hAnsi="TimesNewRomanPS-BoldMT"/>
          <w:bCs/>
          <w:color w:val="000000"/>
          <w:szCs w:val="28"/>
          <w:lang w:val="kk-KZ"/>
        </w:rPr>
      </w:pPr>
      <w:r w:rsidRPr="0014336B">
        <w:rPr>
          <w:rFonts w:ascii="TimesNewRomanPS-BoldMT" w:hAnsi="TimesNewRomanPS-BoldMT"/>
          <w:bCs/>
          <w:color w:val="000000"/>
          <w:szCs w:val="28"/>
          <w:lang w:val="kk-KZ"/>
        </w:rPr>
        <w:t>1.</w:t>
      </w:r>
      <w:r>
        <w:rPr>
          <w:rFonts w:ascii="TimesNewRomanPS-BoldMT" w:hAnsi="TimesNewRomanPS-BoldMT"/>
          <w:bCs/>
          <w:color w:val="000000"/>
          <w:szCs w:val="28"/>
          <w:lang w:val="kk-KZ"/>
        </w:rPr>
        <w:t xml:space="preserve"> </w:t>
      </w:r>
      <w:r w:rsidRPr="00D85EAD">
        <w:rPr>
          <w:rFonts w:ascii="TimesNewRomanPS-BoldMT" w:hAnsi="TimesNewRomanPS-BoldMT"/>
          <w:bCs/>
          <w:color w:val="000000"/>
          <w:szCs w:val="28"/>
          <w:lang w:val="kk-KZ"/>
        </w:rPr>
        <w:t>Қаржылық есептілікті тағайындау</w:t>
      </w:r>
    </w:p>
    <w:p w14:paraId="0676E3F9" w14:textId="77777777" w:rsidR="005703A5" w:rsidRDefault="005703A5" w:rsidP="005703A5">
      <w:pPr>
        <w:pStyle w:val="11"/>
        <w:ind w:firstLine="709"/>
        <w:jc w:val="both"/>
        <w:rPr>
          <w:rFonts w:ascii="TimesNewRomanPS-BoldMT" w:hAnsi="TimesNewRomanPS-BoldMT"/>
          <w:bCs/>
          <w:color w:val="000000"/>
          <w:szCs w:val="28"/>
          <w:lang w:val="kk-KZ"/>
        </w:rPr>
      </w:pPr>
      <w:r w:rsidRPr="0014336B">
        <w:rPr>
          <w:rFonts w:ascii="TimesNewRomanPS-BoldMT" w:hAnsi="TimesNewRomanPS-BoldMT"/>
          <w:bCs/>
          <w:color w:val="000000"/>
          <w:szCs w:val="28"/>
          <w:lang w:val="kk-KZ"/>
        </w:rPr>
        <w:t xml:space="preserve">2. </w:t>
      </w:r>
      <w:r w:rsidRPr="00D85EAD">
        <w:rPr>
          <w:rFonts w:ascii="TimesNewRomanPS-BoldMT" w:hAnsi="TimesNewRomanPS-BoldMT"/>
          <w:bCs/>
          <w:color w:val="000000"/>
          <w:szCs w:val="28"/>
          <w:lang w:val="kk-KZ"/>
        </w:rPr>
        <w:t>Қаржылық есептілікке жауапкершілік</w:t>
      </w:r>
    </w:p>
    <w:p w14:paraId="1A147F22" w14:textId="77777777" w:rsidR="005703A5" w:rsidRDefault="005703A5" w:rsidP="005703A5">
      <w:pPr>
        <w:pStyle w:val="11"/>
        <w:ind w:firstLine="709"/>
        <w:jc w:val="both"/>
        <w:rPr>
          <w:rFonts w:ascii="TimesNewRomanPS-BoldMT" w:hAnsi="TimesNewRomanPS-BoldMT"/>
          <w:bCs/>
          <w:color w:val="000000"/>
          <w:szCs w:val="28"/>
          <w:lang w:val="kk-KZ"/>
        </w:rPr>
      </w:pPr>
      <w:r>
        <w:rPr>
          <w:rFonts w:ascii="TimesNewRomanPS-BoldMT" w:hAnsi="TimesNewRomanPS-BoldMT"/>
          <w:bCs/>
          <w:color w:val="000000"/>
          <w:szCs w:val="28"/>
          <w:lang w:val="kk-KZ"/>
        </w:rPr>
        <w:t xml:space="preserve">3. </w:t>
      </w:r>
      <w:r w:rsidRPr="00D85EAD">
        <w:rPr>
          <w:rFonts w:ascii="TimesNewRomanPS-BoldMT" w:hAnsi="TimesNewRomanPS-BoldMT"/>
          <w:bCs/>
          <w:color w:val="000000"/>
          <w:szCs w:val="28"/>
          <w:lang w:val="kk-KZ"/>
        </w:rPr>
        <w:t>Қаржылық есептілік компоненттері</w:t>
      </w:r>
    </w:p>
    <w:p w14:paraId="1F5DED42" w14:textId="77777777" w:rsidR="005703A5" w:rsidRDefault="005703A5" w:rsidP="005703A5">
      <w:pPr>
        <w:pStyle w:val="11"/>
        <w:ind w:firstLine="709"/>
        <w:jc w:val="both"/>
        <w:rPr>
          <w:rFonts w:ascii="TimesNewRomanPS-BoldMT" w:hAnsi="TimesNewRomanPS-BoldMT"/>
          <w:bCs/>
          <w:color w:val="000000"/>
          <w:szCs w:val="28"/>
          <w:lang w:val="kk-KZ"/>
        </w:rPr>
      </w:pPr>
    </w:p>
    <w:p w14:paraId="7163AF67"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Осы Стандарттың мақсаты субъектінің алдыңғы кезеңдердегi өз қаржылық есептiлiгiмен, сондай-ақ басқа субъектілердің қаржылық есептiлiгiмен салыстырмалы болуына қол жеткiзу үшiн жалпы мақсаттағы қаржылық есептiлікті ұсыну тəртібін бекіту болып табылады. Бұл мақсатқа жету үшiн осы Стандартта қаржылық есептiлiкті ұсынуға қойылатын жалпы талаптар, оның құрылымы бойынша ұсыныстар жəне есептеу əдісін</w:t>
      </w:r>
      <w:r>
        <w:rPr>
          <w:rFonts w:ascii="TimesNewRomanPSMT" w:hAnsi="TimesNewRomanPSMT"/>
          <w:color w:val="000000"/>
          <w:lang w:val="kk-KZ"/>
        </w:rPr>
        <w:t xml:space="preserve"> </w:t>
      </w:r>
      <w:r w:rsidRPr="00F460CC">
        <w:rPr>
          <w:rFonts w:ascii="TimesNewRomanPSMT" w:hAnsi="TimesNewRomanPSMT"/>
          <w:color w:val="000000"/>
          <w:lang w:val="kk-KZ"/>
        </w:rPr>
        <w:t>қолданып дайындаған қаржылық есептiлiктің мазмұнына ең төменгi талаптар келтірілген</w:t>
      </w:r>
      <w:r>
        <w:rPr>
          <w:rFonts w:ascii="TimesNewRomanPSMT" w:hAnsi="TimesNewRomanPSMT"/>
          <w:color w:val="000000"/>
          <w:lang w:val="kk-KZ"/>
        </w:rPr>
        <w:t>.</w:t>
      </w:r>
    </w:p>
    <w:p w14:paraId="184CE5A0" w14:textId="77777777" w:rsidR="005703A5" w:rsidRDefault="005703A5" w:rsidP="005703A5">
      <w:pPr>
        <w:pStyle w:val="11"/>
        <w:ind w:firstLine="709"/>
        <w:jc w:val="both"/>
        <w:rPr>
          <w:rFonts w:ascii="TimesNewRomanPS-BoldMT" w:hAnsi="TimesNewRomanPS-BoldMT"/>
          <w:color w:val="000000"/>
          <w:lang w:val="kk-KZ"/>
        </w:rPr>
      </w:pPr>
      <w:r w:rsidRPr="00F460CC">
        <w:rPr>
          <w:rFonts w:ascii="TimesNewRomanPS-BoldMT" w:hAnsi="TimesNewRomanPS-BoldMT"/>
          <w:color w:val="000000"/>
          <w:lang w:val="kk-KZ"/>
        </w:rPr>
        <w:t>Осы Стандарт есептеу əдісін қолданып, ҚСҚЕХС сəйкес дайындалынатын жəне</w:t>
      </w:r>
      <w:r>
        <w:rPr>
          <w:rFonts w:ascii="TimesNewRomanPS-BoldMT" w:hAnsi="TimesNewRomanPS-BoldMT"/>
          <w:color w:val="000000"/>
          <w:lang w:val="kk-KZ"/>
        </w:rPr>
        <w:t xml:space="preserve"> </w:t>
      </w:r>
      <w:r w:rsidRPr="00F460CC">
        <w:rPr>
          <w:rFonts w:ascii="TimesNewRomanPS-BoldMT" w:hAnsi="TimesNewRomanPS-BoldMT"/>
          <w:color w:val="000000"/>
          <w:lang w:val="kk-KZ"/>
        </w:rPr>
        <w:t>ұсынылатын жалпы сипаттағы қаржылық есептiлiктің барлығына міндетті түрде</w:t>
      </w:r>
      <w:r>
        <w:rPr>
          <w:rFonts w:ascii="TimesNewRomanPS-BoldMT" w:hAnsi="TimesNewRomanPS-BoldMT"/>
          <w:color w:val="000000"/>
          <w:lang w:val="kk-KZ"/>
        </w:rPr>
        <w:t xml:space="preserve"> </w:t>
      </w:r>
      <w:r w:rsidRPr="00F460CC">
        <w:rPr>
          <w:rFonts w:ascii="TimesNewRomanPS-BoldMT" w:hAnsi="TimesNewRomanPS-BoldMT"/>
          <w:color w:val="000000"/>
          <w:lang w:val="kk-KZ"/>
        </w:rPr>
        <w:t>қолданылуы тиiс.</w:t>
      </w:r>
    </w:p>
    <w:p w14:paraId="5911F17B"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Ортақ қолданысқа арналған қаржылық есептілік – қолданушылардың өзіндік мəліметтік сұранысына жауап беретін есептілікті талап ете алмайтын қолданушылардың сұраныстарын қамтамасыз етуге арналған есептілік. Ортақ қолданысқа арналған қаржылық есептіліктің қолданушыларына салық төлеушілер, заң қызметкерлері, несиелер, жеткізушілер, бұқаралық ақпарат құралы жəне жалдамалы жұмыскерлер жатады. Ортақ қолданысқа арналған қаржылық есептілік көбінесе жыл сайынғы есепті, ресми құжаттардың бір бөлігі немесе жеке түрде көрсетілетін есептілік түрін қамтиды. Берілген</w:t>
      </w:r>
      <w:r>
        <w:rPr>
          <w:rFonts w:ascii="TimesNewRomanPSMT" w:hAnsi="TimesNewRomanPSMT"/>
          <w:color w:val="000000"/>
          <w:lang w:val="kk-KZ"/>
        </w:rPr>
        <w:t xml:space="preserve"> </w:t>
      </w:r>
      <w:r w:rsidRPr="00F460CC">
        <w:rPr>
          <w:rFonts w:ascii="TimesNewRomanPSMT" w:hAnsi="TimesNewRomanPSMT"/>
          <w:color w:val="000000"/>
          <w:lang w:val="kk-KZ"/>
        </w:rPr>
        <w:t>Стандарт қысқартылған түрде көрсетілетін аралық қаржылық мəліметке қолданылмайды</w:t>
      </w:r>
      <w:r>
        <w:rPr>
          <w:rFonts w:ascii="TimesNewRomanPSMT" w:hAnsi="TimesNewRomanPSMT"/>
          <w:color w:val="000000"/>
          <w:lang w:val="kk-KZ"/>
        </w:rPr>
        <w:t>.</w:t>
      </w:r>
    </w:p>
    <w:p w14:paraId="2069EB07"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Осы Стандарт, </w:t>
      </w:r>
      <w:r w:rsidRPr="00F460CC">
        <w:rPr>
          <w:rFonts w:ascii="TimesNewRomanPS-ItalicMT" w:hAnsi="TimesNewRomanPS-ItalicMT"/>
          <w:color w:val="000000"/>
          <w:lang w:val="kk-KZ"/>
        </w:rPr>
        <w:t xml:space="preserve">«Шоғырландырылған жəне жеке қаржылық есептілік» </w:t>
      </w:r>
      <w:r w:rsidRPr="00F460CC">
        <w:rPr>
          <w:rFonts w:ascii="TimesNewRomanPSMT" w:hAnsi="TimesNewRomanPSMT"/>
          <w:color w:val="000000"/>
          <w:lang w:val="kk-KZ"/>
        </w:rPr>
        <w:t>6 ҚСҚЕХС анықталғандай, шоғырландырылған қаржылық есептілікті жəне жеке қаржылық есептілікті ұсынатын мекемелермен қоса, барлық субъектілерге бірдей дəрежеде қолданылады.</w:t>
      </w:r>
    </w:p>
    <w:p w14:paraId="1A6A423D" w14:textId="77777777" w:rsidR="005703A5" w:rsidRDefault="005703A5" w:rsidP="005703A5">
      <w:pPr>
        <w:pStyle w:val="11"/>
        <w:ind w:firstLine="709"/>
        <w:jc w:val="both"/>
        <w:rPr>
          <w:rFonts w:ascii="TimesNewRomanPS-BoldMT" w:hAnsi="TimesNewRomanPS-BoldMT"/>
          <w:color w:val="000000"/>
          <w:lang w:val="kk-KZ"/>
        </w:rPr>
      </w:pPr>
      <w:r w:rsidRPr="00F460CC">
        <w:rPr>
          <w:rFonts w:ascii="TimesNewRomanPS-BoldMT" w:hAnsi="TimesNewRomanPS-BoldMT"/>
          <w:color w:val="000000"/>
          <w:lang w:val="kk-KZ"/>
        </w:rPr>
        <w:t>Берілген Стандарт мемлекеттік коммерциялық кəсіпорындардан басқа барлық</w:t>
      </w:r>
      <w:r>
        <w:rPr>
          <w:rFonts w:ascii="TimesNewRomanPS-BoldMT" w:hAnsi="TimesNewRomanPS-BoldMT"/>
          <w:color w:val="000000"/>
          <w:lang w:val="kk-KZ"/>
        </w:rPr>
        <w:t xml:space="preserve"> </w:t>
      </w:r>
      <w:r w:rsidRPr="00F460CC">
        <w:rPr>
          <w:rFonts w:ascii="TimesNewRomanPS-BoldMT" w:hAnsi="TimesNewRomanPS-BoldMT"/>
          <w:color w:val="000000"/>
          <w:lang w:val="kk-KZ"/>
        </w:rPr>
        <w:t>қоғамдық сектор субъектілеріне қолданылады.</w:t>
      </w:r>
    </w:p>
    <w:p w14:paraId="797BD7B4"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Активтер субъектілер үшін өздерінің мақсатына жетуде қолданылатын құрал болып табылады. Тауарды өндіру үшін жəне субъектінің мақсатына сай қызмет көрсету үшін қолданылатын активтер, бірақ тікелей ақшалай қаражат түсуін қамтамасыз етпейтіндерді көбінесе «Сервистік əлеует» деп атайды. Таза ақша түсімін қамтамасыз етуге қолданылатын активтерді көбінесе «Болашақ экономикалық пайда» деп атайды. Активтердің маңызды сипаттамасын беретін активтердің бағытталуы мүмкін барлық жалпы</w:t>
      </w:r>
      <w:r>
        <w:rPr>
          <w:rFonts w:ascii="TimesNewRomanPSMT" w:hAnsi="TimesNewRomanPSMT"/>
          <w:color w:val="000000"/>
          <w:lang w:val="kk-KZ"/>
        </w:rPr>
        <w:t xml:space="preserve"> </w:t>
      </w:r>
      <w:r w:rsidRPr="00F460CC">
        <w:rPr>
          <w:rFonts w:ascii="TimesNewRomanPSMT" w:hAnsi="TimesNewRomanPSMT"/>
          <w:color w:val="000000"/>
          <w:lang w:val="kk-KZ"/>
        </w:rPr>
        <w:t>мақсатты белгілеу үшін осы стандартта «Болашақ экономикалық пайда немесе сервистік əлеует» термині қолданылады.</w:t>
      </w:r>
    </w:p>
    <w:p w14:paraId="1F0F016A"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lastRenderedPageBreak/>
        <w:t>МКК сауда кəсіпорындары, коммуналдық қызмет көрсететін кəсіпорындар сияқты, қаржылық институттар секілді қаржы кəсіпорындары да болып табылады. МКК негізінен қоғамдық сектордағы ұқсас əрекетпен айналысатын субъектілерден айырмашылығы жоқ. МКК əдетте пайда түсіру үшін жұмыс жасайды, бірақ олардың кейбіреуінің белгілі қоғамдық міндеті бар, сондықтан олар бөлек тұлғаларға жəне топтарға арзанырақ бағамен немесе тегін тауар жəне қызмет көрсетеді. «Шоғырландырылған жəне жеке қаржылық есеп» 6 ҚСҚЕХС қаржылық есеп мақсатында бақылауға қатысты нұсқау береді, жəне олар</w:t>
      </w:r>
      <w:r>
        <w:rPr>
          <w:rFonts w:ascii="TimesNewRomanPSMT" w:hAnsi="TimesNewRomanPSMT"/>
          <w:color w:val="000000"/>
          <w:lang w:val="kk-KZ"/>
        </w:rPr>
        <w:t xml:space="preserve"> </w:t>
      </w:r>
      <w:r w:rsidRPr="00F460CC">
        <w:rPr>
          <w:rFonts w:ascii="TimesNewRomanPSMT" w:hAnsi="TimesNewRomanPSMT"/>
          <w:color w:val="000000"/>
          <w:lang w:val="kk-KZ"/>
        </w:rPr>
        <w:t>егер МКК басқа қоғам секторының субъектісі бақыланатыны анықталса ғана басқарылады</w:t>
      </w:r>
      <w:r>
        <w:rPr>
          <w:rFonts w:ascii="TimesNewRomanPSMT" w:hAnsi="TimesNewRomanPSMT"/>
          <w:color w:val="000000"/>
          <w:lang w:val="kk-KZ"/>
        </w:rPr>
        <w:t>.</w:t>
      </w:r>
    </w:p>
    <w:p w14:paraId="1DB5FE13"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Рұқсат немесе ақпараттың бұрмалануы қолданушылардың шешіміне əсер ете алатынын бағалау маңызды болып табылады жəне қолданушылардың белгілі ерекшеліктерін қарастыру талап етіледі. Қолданушылар қажеттігінше қоғамдық сектор туралы біледі, экономикалық əрекет туралы, бухгалтерлік есеп туралы жəне ақпаратты тиісті ынтамен оқи алады. Сондықтан, бағалау кезінде осындай сипаттауға шешім қабылдау жəне бақылау кезінде əсерге ұшыраған қолданушылардың қалай орынды күтуге болатынына назар аудару</w:t>
      </w:r>
      <w:r>
        <w:rPr>
          <w:rFonts w:ascii="TimesNewRomanPSMT" w:hAnsi="TimesNewRomanPSMT"/>
          <w:color w:val="000000"/>
          <w:lang w:val="kk-KZ"/>
        </w:rPr>
        <w:t xml:space="preserve"> керек.</w:t>
      </w:r>
    </w:p>
    <w:p w14:paraId="69E0EC14"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Қаржылық есептілік субъекті жүзеге асырған қаржылық жағдайдың жəне операцияның құрылымды ұсынылуын келтіреді. Жалпы мақсаттағы қаржылық есептіліктің мақсаты – қаржылық жағдай туралы ақпараттың ұсынылуы, субъектінің қаржылық əрекет нəтижелері жəне ақша қаражатының қозғалысы, қолданушыларға ресурстарды орнықтыру кезінде шешім қабылдау жəне бағалау кезінде қолданушыларға пайдалы болады. Негізінен, қоғамдық сектордағы жалпы тағайындаудағы қаржылық есептіліктің мақсаты – шешім қабылдауға пайдалы ақпараттың ұсынылуы жəне субъектінің қабілетін көрсету,</w:t>
      </w:r>
      <w:r w:rsidRPr="00F460CC">
        <w:rPr>
          <w:lang w:val="kk-KZ"/>
        </w:rPr>
        <w:t xml:space="preserve"> </w:t>
      </w:r>
      <w:r w:rsidRPr="00F460CC">
        <w:rPr>
          <w:rFonts w:ascii="TimesNewRomanPSMT" w:hAnsi="TimesNewRomanPSMT"/>
          <w:color w:val="000000"/>
          <w:lang w:val="kk-KZ"/>
        </w:rPr>
        <w:t>қарауындағы ресурстарға есеп беру:</w:t>
      </w:r>
    </w:p>
    <w:p w14:paraId="74CD988C"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a) Дереккөз туралы ақпараттың, қаржы ресурстарын қолданудың жəне бөлудің ұсынылуы; </w:t>
      </w:r>
    </w:p>
    <w:p w14:paraId="0E623889"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b) Субъектінің өзінің əрекетінің қалай қаржыландырғаны туралы жəне ақшалай қаражаттағы қажеттілігімен қамтамасыз ететін ақпараттың ұсынылуы; </w:t>
      </w:r>
    </w:p>
    <w:p w14:paraId="691F950B"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c) Ақпараттың ұсынылуы субъектінің өзінің əрекетін қаржыландыру жəне өзінің міндеттемелерін өтеу, жəне субъектінің мүмкіндіктерін бағалау кезінде пайдалы болып табылады; </w:t>
      </w:r>
    </w:p>
    <w:p w14:paraId="7BA5A674" w14:textId="77777777" w:rsidR="005703A5" w:rsidRDefault="005703A5" w:rsidP="005703A5">
      <w:pPr>
        <w:pStyle w:val="11"/>
        <w:ind w:firstLine="709"/>
        <w:jc w:val="both"/>
        <w:rPr>
          <w:rFonts w:ascii="TimesNewRomanPSMT" w:hAnsi="TimesNewRomanPSMT"/>
          <w:color w:val="000000"/>
          <w:lang w:val="kk-KZ"/>
        </w:rPr>
      </w:pPr>
      <w:r w:rsidRPr="00F460CC">
        <w:rPr>
          <w:rFonts w:ascii="TimesNewRomanPSMT" w:hAnsi="TimesNewRomanPSMT"/>
          <w:color w:val="000000"/>
          <w:lang w:val="kk-KZ"/>
        </w:rPr>
        <w:t xml:space="preserve">d) Субъектінің қаржылық жағдайы жəне оның өзгерістері туралы ақпаратты ұсыну; </w:t>
      </w:r>
    </w:p>
    <w:p w14:paraId="1CEF99B8" w14:textId="77777777" w:rsidR="005703A5" w:rsidRPr="00F460CC" w:rsidRDefault="005703A5" w:rsidP="005703A5">
      <w:pPr>
        <w:pStyle w:val="11"/>
        <w:ind w:firstLine="709"/>
        <w:jc w:val="both"/>
        <w:rPr>
          <w:rFonts w:ascii="TimesNewRomanPS-BoldMT" w:hAnsi="TimesNewRomanPS-BoldMT"/>
          <w:bCs/>
          <w:color w:val="000000"/>
          <w:szCs w:val="28"/>
          <w:lang w:val="kk-KZ"/>
        </w:rPr>
      </w:pPr>
      <w:r w:rsidRPr="00F460CC">
        <w:rPr>
          <w:rFonts w:ascii="TimesNewRomanPSMT" w:hAnsi="TimesNewRomanPSMT"/>
          <w:color w:val="000000"/>
          <w:lang w:val="kk-KZ"/>
        </w:rPr>
        <w:t>e) Қызмет жүргізуге, тиімділікке, нəтижеге жетуге шығын тұрғысынан субъектінің</w:t>
      </w:r>
    </w:p>
    <w:p w14:paraId="2EE8D8C6" w14:textId="77777777" w:rsidR="005703A5" w:rsidRDefault="005703A5" w:rsidP="005703A5">
      <w:pPr>
        <w:pStyle w:val="11"/>
        <w:ind w:left="1219"/>
        <w:jc w:val="both"/>
        <w:rPr>
          <w:rFonts w:ascii="Times New Roman" w:hAnsi="Times New Roman"/>
          <w:b/>
          <w:sz w:val="24"/>
          <w:lang w:val="kk-KZ"/>
        </w:rPr>
      </w:pPr>
    </w:p>
    <w:p w14:paraId="35D0EEDC" w14:textId="77777777" w:rsidR="005703A5" w:rsidRDefault="005703A5" w:rsidP="005703A5">
      <w:pPr>
        <w:pStyle w:val="11"/>
        <w:ind w:left="1219"/>
        <w:jc w:val="both"/>
        <w:rPr>
          <w:rFonts w:ascii="TimesNewRomanPS-BoldMT" w:hAnsi="TimesNewRomanPS-BoldMT"/>
          <w:b/>
          <w:bCs/>
          <w:color w:val="000000"/>
          <w:szCs w:val="28"/>
          <w:lang w:val="kk-KZ"/>
        </w:rPr>
      </w:pPr>
      <w:r w:rsidRPr="00035B70">
        <w:rPr>
          <w:rFonts w:ascii="TimesNewRomanPS-BoldMT" w:hAnsi="TimesNewRomanPS-BoldMT"/>
          <w:b/>
          <w:bCs/>
          <w:color w:val="000000"/>
          <w:szCs w:val="28"/>
          <w:lang w:val="kk-KZ"/>
        </w:rPr>
        <w:t>Бақылау сұрақтары</w:t>
      </w:r>
    </w:p>
    <w:p w14:paraId="2B6839FA" w14:textId="77777777" w:rsidR="005703A5" w:rsidRPr="00232048" w:rsidRDefault="005703A5" w:rsidP="005703A5">
      <w:pPr>
        <w:pStyle w:val="11"/>
        <w:numPr>
          <w:ilvl w:val="0"/>
          <w:numId w:val="1"/>
        </w:numPr>
        <w:jc w:val="both"/>
        <w:rPr>
          <w:rFonts w:ascii="TimesNewRomanPSMT" w:hAnsi="TimesNewRomanPSMT"/>
          <w:color w:val="000000"/>
          <w:szCs w:val="28"/>
          <w:lang w:val="kk-KZ"/>
        </w:rPr>
      </w:pPr>
      <w:r w:rsidRPr="00232048">
        <w:rPr>
          <w:rFonts w:ascii="TimesNewRomanPSMT" w:hAnsi="TimesNewRomanPSMT"/>
          <w:color w:val="000000"/>
          <w:szCs w:val="28"/>
          <w:lang w:val="kk-KZ"/>
        </w:rPr>
        <w:t>Сенімді ұсыну жəне ҚСҚЕХС сəйкестік</w:t>
      </w:r>
    </w:p>
    <w:p w14:paraId="5884ED4E" w14:textId="77777777" w:rsidR="005703A5" w:rsidRPr="00232048" w:rsidRDefault="005703A5" w:rsidP="005703A5">
      <w:pPr>
        <w:pStyle w:val="11"/>
        <w:numPr>
          <w:ilvl w:val="0"/>
          <w:numId w:val="1"/>
        </w:numPr>
        <w:jc w:val="both"/>
        <w:rPr>
          <w:rFonts w:ascii="TimesNewRomanPSMT" w:hAnsi="TimesNewRomanPSMT"/>
          <w:color w:val="000000"/>
          <w:szCs w:val="28"/>
          <w:lang w:val="kk-KZ"/>
        </w:rPr>
      </w:pPr>
      <w:r w:rsidRPr="00232048">
        <w:rPr>
          <w:rFonts w:ascii="TimesNewRomanPSMT" w:hAnsi="TimesNewRomanPSMT"/>
          <w:color w:val="000000"/>
          <w:szCs w:val="28"/>
          <w:lang w:val="kk-KZ"/>
        </w:rPr>
        <w:t>Қызметтің үздіксіздігі</w:t>
      </w:r>
    </w:p>
    <w:p w14:paraId="7E90C018" w14:textId="77777777" w:rsidR="005703A5" w:rsidRPr="00232048" w:rsidRDefault="005703A5" w:rsidP="005703A5">
      <w:pPr>
        <w:pStyle w:val="11"/>
        <w:numPr>
          <w:ilvl w:val="0"/>
          <w:numId w:val="1"/>
        </w:numPr>
        <w:jc w:val="both"/>
        <w:rPr>
          <w:rFonts w:ascii="TimesNewRomanPSMT" w:hAnsi="TimesNewRomanPSMT"/>
          <w:color w:val="000000"/>
          <w:szCs w:val="28"/>
          <w:lang w:val="kk-KZ"/>
        </w:rPr>
      </w:pPr>
      <w:r w:rsidRPr="00232048">
        <w:rPr>
          <w:rFonts w:ascii="TimesNewRomanPSMT" w:hAnsi="TimesNewRomanPSMT"/>
          <w:color w:val="000000"/>
          <w:szCs w:val="28"/>
          <w:lang w:val="kk-KZ"/>
        </w:rPr>
        <w:t>Ұсынудың бірізділігі</w:t>
      </w:r>
    </w:p>
    <w:p w14:paraId="1226551A" w14:textId="77777777" w:rsidR="005703A5" w:rsidRPr="00232048" w:rsidRDefault="005703A5" w:rsidP="005703A5">
      <w:pPr>
        <w:pStyle w:val="11"/>
        <w:numPr>
          <w:ilvl w:val="0"/>
          <w:numId w:val="1"/>
        </w:numPr>
        <w:jc w:val="both"/>
        <w:rPr>
          <w:rFonts w:ascii="Times New Roman" w:hAnsi="Times New Roman"/>
          <w:szCs w:val="28"/>
          <w:lang w:val="kk-KZ"/>
        </w:rPr>
      </w:pPr>
      <w:r w:rsidRPr="00232048">
        <w:rPr>
          <w:rFonts w:ascii="TimesNewRomanPSMT" w:hAnsi="TimesNewRomanPSMT"/>
          <w:color w:val="000000"/>
          <w:szCs w:val="28"/>
          <w:lang w:val="kk-KZ"/>
        </w:rPr>
        <w:t>Маңыздылық жəне біріктіру</w:t>
      </w:r>
    </w:p>
    <w:p w14:paraId="639B8E00" w14:textId="77777777" w:rsidR="005703A5" w:rsidRPr="00232048" w:rsidRDefault="005703A5" w:rsidP="005703A5">
      <w:pPr>
        <w:pStyle w:val="11"/>
        <w:numPr>
          <w:ilvl w:val="0"/>
          <w:numId w:val="1"/>
        </w:numPr>
        <w:jc w:val="both"/>
        <w:rPr>
          <w:rFonts w:ascii="Times New Roman" w:hAnsi="Times New Roman"/>
          <w:szCs w:val="28"/>
          <w:lang w:val="kk-KZ"/>
        </w:rPr>
      </w:pPr>
      <w:r w:rsidRPr="00232048">
        <w:rPr>
          <w:rFonts w:ascii="Times New Roman" w:hAnsi="Times New Roman"/>
          <w:szCs w:val="28"/>
          <w:lang w:val="kk-KZ"/>
        </w:rPr>
        <w:lastRenderedPageBreak/>
        <w:t>Өзара есепке алу</w:t>
      </w:r>
    </w:p>
    <w:p w14:paraId="61A381BF" w14:textId="77777777" w:rsidR="005703A5" w:rsidRPr="00232048" w:rsidRDefault="005703A5" w:rsidP="005703A5">
      <w:pPr>
        <w:pStyle w:val="11"/>
        <w:numPr>
          <w:ilvl w:val="0"/>
          <w:numId w:val="1"/>
        </w:numPr>
        <w:jc w:val="both"/>
        <w:rPr>
          <w:rFonts w:ascii="Times New Roman" w:hAnsi="Times New Roman"/>
          <w:szCs w:val="28"/>
          <w:lang w:val="kk-KZ"/>
        </w:rPr>
      </w:pPr>
      <w:r w:rsidRPr="00232048">
        <w:rPr>
          <w:rFonts w:ascii="Times New Roman" w:hAnsi="Times New Roman"/>
          <w:szCs w:val="28"/>
          <w:lang w:val="kk-KZ"/>
        </w:rPr>
        <w:t>Салыстырмалы ақпарат</w:t>
      </w:r>
    </w:p>
    <w:p w14:paraId="58B55DDE" w14:textId="77777777" w:rsidR="005703A5" w:rsidRPr="00232048" w:rsidRDefault="005703A5" w:rsidP="005703A5">
      <w:pPr>
        <w:pStyle w:val="11"/>
        <w:numPr>
          <w:ilvl w:val="0"/>
          <w:numId w:val="1"/>
        </w:numPr>
        <w:jc w:val="both"/>
        <w:rPr>
          <w:rFonts w:ascii="Times New Roman" w:hAnsi="Times New Roman"/>
          <w:szCs w:val="28"/>
          <w:lang w:val="kk-KZ"/>
        </w:rPr>
      </w:pPr>
      <w:r w:rsidRPr="00232048">
        <w:rPr>
          <w:rFonts w:ascii="Times New Roman" w:hAnsi="Times New Roman"/>
          <w:szCs w:val="28"/>
          <w:lang w:val="kk-KZ"/>
        </w:rPr>
        <w:t>Құрылымы жəне мазмұны</w:t>
      </w:r>
    </w:p>
    <w:p w14:paraId="0D6BA3D6" w14:textId="77777777" w:rsidR="00CB0C24" w:rsidRDefault="00CB0C24"/>
    <w:sectPr w:rsidR="00CB0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661AFA"/>
    <w:multiLevelType w:val="hybridMultilevel"/>
    <w:tmpl w:val="4404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080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F89"/>
    <w:rsid w:val="003E4FE7"/>
    <w:rsid w:val="005703A5"/>
    <w:rsid w:val="00783F89"/>
    <w:rsid w:val="00CB0C24"/>
    <w:rsid w:val="00D876DE"/>
    <w:rsid w:val="00E051EC"/>
    <w:rsid w:val="00E37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2D41"/>
  <w15:chartTrackingRefBased/>
  <w15:docId w15:val="{27AA33DD-4013-43E5-9B14-BDA063F7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83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83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83F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83F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83F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83F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83F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83F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83F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F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3F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3F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3F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3F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3F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3F89"/>
    <w:rPr>
      <w:rFonts w:eastAsiaTheme="majorEastAsia" w:cstheme="majorBidi"/>
      <w:color w:val="595959" w:themeColor="text1" w:themeTint="A6"/>
    </w:rPr>
  </w:style>
  <w:style w:type="character" w:customStyle="1" w:styleId="80">
    <w:name w:val="Заголовок 8 Знак"/>
    <w:basedOn w:val="a0"/>
    <w:link w:val="8"/>
    <w:uiPriority w:val="9"/>
    <w:semiHidden/>
    <w:rsid w:val="00783F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3F89"/>
    <w:rPr>
      <w:rFonts w:eastAsiaTheme="majorEastAsia" w:cstheme="majorBidi"/>
      <w:color w:val="272727" w:themeColor="text1" w:themeTint="D8"/>
    </w:rPr>
  </w:style>
  <w:style w:type="paragraph" w:styleId="a3">
    <w:name w:val="Title"/>
    <w:basedOn w:val="a"/>
    <w:next w:val="a"/>
    <w:link w:val="a4"/>
    <w:uiPriority w:val="10"/>
    <w:qFormat/>
    <w:rsid w:val="00783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83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F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83F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3F89"/>
    <w:pPr>
      <w:spacing w:before="160"/>
      <w:jc w:val="center"/>
    </w:pPr>
    <w:rPr>
      <w:i/>
      <w:iCs/>
      <w:color w:val="404040" w:themeColor="text1" w:themeTint="BF"/>
    </w:rPr>
  </w:style>
  <w:style w:type="character" w:customStyle="1" w:styleId="22">
    <w:name w:val="Цитата 2 Знак"/>
    <w:basedOn w:val="a0"/>
    <w:link w:val="21"/>
    <w:uiPriority w:val="29"/>
    <w:rsid w:val="00783F89"/>
    <w:rPr>
      <w:i/>
      <w:iCs/>
      <w:color w:val="404040" w:themeColor="text1" w:themeTint="BF"/>
    </w:rPr>
  </w:style>
  <w:style w:type="paragraph" w:styleId="a7">
    <w:name w:val="List Paragraph"/>
    <w:basedOn w:val="a"/>
    <w:uiPriority w:val="34"/>
    <w:qFormat/>
    <w:rsid w:val="00783F89"/>
    <w:pPr>
      <w:ind w:left="720"/>
      <w:contextualSpacing/>
    </w:pPr>
  </w:style>
  <w:style w:type="character" w:styleId="a8">
    <w:name w:val="Intense Emphasis"/>
    <w:basedOn w:val="a0"/>
    <w:uiPriority w:val="21"/>
    <w:qFormat/>
    <w:rsid w:val="00783F89"/>
    <w:rPr>
      <w:i/>
      <w:iCs/>
      <w:color w:val="0F4761" w:themeColor="accent1" w:themeShade="BF"/>
    </w:rPr>
  </w:style>
  <w:style w:type="paragraph" w:styleId="a9">
    <w:name w:val="Intense Quote"/>
    <w:basedOn w:val="a"/>
    <w:next w:val="a"/>
    <w:link w:val="aa"/>
    <w:uiPriority w:val="30"/>
    <w:qFormat/>
    <w:rsid w:val="00783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83F89"/>
    <w:rPr>
      <w:i/>
      <w:iCs/>
      <w:color w:val="0F4761" w:themeColor="accent1" w:themeShade="BF"/>
    </w:rPr>
  </w:style>
  <w:style w:type="character" w:styleId="ab">
    <w:name w:val="Intense Reference"/>
    <w:basedOn w:val="a0"/>
    <w:uiPriority w:val="32"/>
    <w:qFormat/>
    <w:rsid w:val="00783F89"/>
    <w:rPr>
      <w:b/>
      <w:bCs/>
      <w:smallCaps/>
      <w:color w:val="0F4761" w:themeColor="accent1" w:themeShade="BF"/>
      <w:spacing w:val="5"/>
    </w:rPr>
  </w:style>
  <w:style w:type="paragraph" w:customStyle="1" w:styleId="11">
    <w:name w:val="Без интервала1"/>
    <w:rsid w:val="005703A5"/>
    <w:pPr>
      <w:spacing w:after="0" w:line="240" w:lineRule="auto"/>
    </w:pPr>
    <w:rPr>
      <w:rFonts w:ascii="Arial" w:eastAsia="Calibri" w:hAnsi="Arial" w:cs="Times New Roman"/>
      <w:kern w:val="0"/>
      <w:sz w:val="28"/>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Тажикенова Сапия Каргабаевна</dc:creator>
  <cp:keywords/>
  <dc:description/>
  <cp:lastModifiedBy>Тажикенова Сапия Каргабаевна</cp:lastModifiedBy>
  <cp:revision>2</cp:revision>
  <dcterms:created xsi:type="dcterms:W3CDTF">2024-10-29T13:54:00Z</dcterms:created>
  <dcterms:modified xsi:type="dcterms:W3CDTF">2024-10-29T13:55:00Z</dcterms:modified>
</cp:coreProperties>
</file>