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948C8" w14:textId="3333E9F9" w:rsidR="00EC06C1" w:rsidRDefault="00EC06C1" w:rsidP="00EC06C1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Тақырып </w:t>
      </w:r>
      <w:r>
        <w:rPr>
          <w:rFonts w:ascii="TimesNewRomanPS-BoldMT" w:hAnsi="TimesNewRomanPS-BoldMT"/>
          <w:b/>
          <w:bCs/>
          <w:color w:val="000000"/>
          <w:szCs w:val="28"/>
          <w:lang w:val="kk-KZ"/>
        </w:rPr>
        <w:t>1</w:t>
      </w:r>
      <w:r w:rsidR="00BB4FB8">
        <w:rPr>
          <w:rFonts w:ascii="TimesNewRomanPS-BoldMT" w:hAnsi="TimesNewRomanPS-BoldMT"/>
          <w:b/>
          <w:bCs/>
          <w:color w:val="000000"/>
          <w:szCs w:val="28"/>
          <w:lang w:val="kk-KZ"/>
        </w:rPr>
        <w:t>2</w:t>
      </w: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. </w:t>
      </w:r>
      <w:r w:rsidRPr="00352898">
        <w:rPr>
          <w:rFonts w:ascii="TimesNewRomanPSMT" w:hAnsi="TimesNewRomanPSMT"/>
          <w:color w:val="000000"/>
          <w:szCs w:val="28"/>
          <w:lang w:val="kk-KZ"/>
        </w:rPr>
        <w:t>Сегменттік есептілік</w:t>
      </w:r>
      <w:r>
        <w:rPr>
          <w:rFonts w:ascii="TimesNewRomanPSMT" w:hAnsi="TimesNewRomanPSMT"/>
          <w:color w:val="000000"/>
          <w:sz w:val="22"/>
          <w:szCs w:val="22"/>
          <w:lang w:val="kk-KZ"/>
        </w:rPr>
        <w:t>.</w:t>
      </w:r>
      <w:r w:rsidRPr="00867FD1">
        <w:rPr>
          <w:rFonts w:ascii="TimesNewRomanPSMT" w:hAnsi="TimesNewRomanPSMT"/>
          <w:color w:val="000000"/>
          <w:szCs w:val="28"/>
          <w:lang w:val="kk-KZ"/>
        </w:rPr>
        <w:t xml:space="preserve"> </w:t>
      </w:r>
    </w:p>
    <w:p w14:paraId="4839F5D9" w14:textId="77777777" w:rsidR="00EC06C1" w:rsidRDefault="00EC06C1" w:rsidP="00EC06C1">
      <w:pPr>
        <w:pStyle w:val="11"/>
        <w:ind w:firstLine="709"/>
        <w:jc w:val="both"/>
        <w:rPr>
          <w:rFonts w:ascii="TimesNewRomanPS-BoldItalicMT" w:hAnsi="TimesNewRomanPS-BoldItalicMT"/>
          <w:b/>
          <w:bCs/>
          <w:i/>
          <w:iCs/>
          <w:color w:val="000000"/>
          <w:szCs w:val="28"/>
          <w:lang w:val="kk-KZ"/>
        </w:rPr>
      </w:pPr>
    </w:p>
    <w:p w14:paraId="729973D3" w14:textId="77777777" w:rsidR="00EC06C1" w:rsidRDefault="00EC06C1" w:rsidP="00EC06C1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ItalicMT" w:hAnsi="TimesNewRomanPS-BoldItalicMT"/>
          <w:b/>
          <w:bCs/>
          <w:i/>
          <w:iCs/>
          <w:color w:val="000000"/>
          <w:szCs w:val="28"/>
          <w:lang w:val="kk-KZ"/>
        </w:rPr>
        <w:t xml:space="preserve">Дәрістің мақсаты: </w:t>
      </w:r>
      <w:r w:rsidRPr="00352898">
        <w:rPr>
          <w:rFonts w:ascii="TimesNewRomanPSMT" w:hAnsi="TimesNewRomanPSMT"/>
          <w:color w:val="000000"/>
          <w:szCs w:val="28"/>
          <w:lang w:val="kk-KZ"/>
        </w:rPr>
        <w:t xml:space="preserve">Сегменттік есептілік </w:t>
      </w:r>
      <w:r>
        <w:rPr>
          <w:rFonts w:ascii="TimesNewRomanPSMT" w:hAnsi="TimesNewRomanPSMT"/>
          <w:color w:val="000000"/>
          <w:szCs w:val="28"/>
          <w:lang w:val="kk-KZ"/>
        </w:rPr>
        <w:t>жайлы түсінік беру</w:t>
      </w:r>
    </w:p>
    <w:p w14:paraId="03FD585F" w14:textId="77777777" w:rsidR="00EC06C1" w:rsidRDefault="00EC06C1" w:rsidP="00EC06C1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</w:p>
    <w:p w14:paraId="2933EB96" w14:textId="77777777" w:rsidR="00EC06C1" w:rsidRDefault="00EC06C1" w:rsidP="00EC06C1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>Дәріс сабағының жоспары</w:t>
      </w:r>
    </w:p>
    <w:p w14:paraId="47E1A060" w14:textId="77777777" w:rsidR="00EC06C1" w:rsidRPr="0014336B" w:rsidRDefault="00EC06C1" w:rsidP="00EC06C1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>1.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096D07">
        <w:rPr>
          <w:rFonts w:ascii="TimesNewRomanPS-BoldMT" w:hAnsi="TimesNewRomanPS-BoldMT"/>
          <w:bCs/>
          <w:color w:val="000000"/>
          <w:szCs w:val="28"/>
          <w:lang w:val="kk-KZ"/>
        </w:rPr>
        <w:t>Сегменттік есептілік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096D07">
        <w:rPr>
          <w:rFonts w:ascii="Times New Roman" w:hAnsi="Times New Roman"/>
          <w:bCs/>
          <w:color w:val="000000"/>
          <w:szCs w:val="28"/>
          <w:lang w:val="kk-KZ"/>
        </w:rPr>
        <w:t>құрылымы</w:t>
      </w:r>
    </w:p>
    <w:p w14:paraId="35D25645" w14:textId="77777777" w:rsidR="00EC06C1" w:rsidRDefault="00EC06C1" w:rsidP="00EC06C1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 xml:space="preserve">2. </w:t>
      </w:r>
      <w:r w:rsidRPr="00096D07">
        <w:rPr>
          <w:rFonts w:ascii="TimesNewRomanPS-BoldMT" w:hAnsi="TimesNewRomanPS-BoldMT"/>
          <w:bCs/>
          <w:color w:val="000000"/>
          <w:szCs w:val="28"/>
          <w:lang w:val="kk-KZ"/>
        </w:rPr>
        <w:t>Сегменттің кіріс, шығыс, актив, міндеттемелер мен есептік саясатын анықтау</w:t>
      </w:r>
    </w:p>
    <w:p w14:paraId="61447546" w14:textId="77777777" w:rsidR="00EC06C1" w:rsidRPr="00E73AA0" w:rsidRDefault="00EC06C1" w:rsidP="00EC06C1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3. </w:t>
      </w:r>
      <w:r w:rsidRPr="00096D07">
        <w:rPr>
          <w:rFonts w:ascii="TimesNewRomanPS-BoldMT" w:hAnsi="TimesNewRomanPS-BoldMT"/>
          <w:bCs/>
          <w:color w:val="000000"/>
          <w:szCs w:val="28"/>
          <w:lang w:val="kk-KZ"/>
        </w:rPr>
        <w:t>Сегменттің активтері, міндеттемелері, кірістер мен шығыстар</w:t>
      </w:r>
    </w:p>
    <w:p w14:paraId="1A53E0F7" w14:textId="77777777" w:rsidR="00EC06C1" w:rsidRDefault="00EC06C1" w:rsidP="00EC06C1">
      <w:pPr>
        <w:pStyle w:val="11"/>
        <w:ind w:left="1219"/>
        <w:jc w:val="both"/>
        <w:rPr>
          <w:rFonts w:ascii="Times New Roman" w:hAnsi="Times New Roman"/>
          <w:b/>
          <w:sz w:val="24"/>
          <w:lang w:val="kk-KZ"/>
        </w:rPr>
      </w:pPr>
    </w:p>
    <w:p w14:paraId="1EEA11BD" w14:textId="77777777" w:rsidR="00EC06C1" w:rsidRPr="005D0834" w:rsidRDefault="00EC06C1" w:rsidP="00EC06C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5D0834">
        <w:rPr>
          <w:rFonts w:ascii="Times New Roman" w:hAnsi="Times New Roman"/>
          <w:szCs w:val="28"/>
          <w:lang w:val="kk-KZ"/>
        </w:rPr>
        <w:t>Осы Стандарттың мақсаты сегмент бойынша қаржылық есептіліктің ұсынылу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қағидаттарын анықтау болып табылады. Ақпаратты ашып көрсету мыналарға қол жеткізуге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көмектеседі:</w:t>
      </w:r>
    </w:p>
    <w:p w14:paraId="14B7475F" w14:textId="77777777" w:rsidR="00EC06C1" w:rsidRPr="005D0834" w:rsidRDefault="00EC06C1" w:rsidP="00EC06C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5D0834">
        <w:rPr>
          <w:rFonts w:ascii="Times New Roman" w:hAnsi="Times New Roman"/>
          <w:szCs w:val="28"/>
          <w:lang w:val="kk-KZ"/>
        </w:rPr>
        <w:t>a) Қаржылық есептілікті қолданушыларға субъекті қызметінің өткен кезеңдердегі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қызметінің нәтижелерін жақсырақ түсінуге және субъектінің негізгі қызметін қолдауға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 xml:space="preserve">арналған қорларды табуға; </w:t>
      </w:r>
    </w:p>
    <w:p w14:paraId="5639B478" w14:textId="77777777" w:rsidR="00EC06C1" w:rsidRPr="005D0834" w:rsidRDefault="00EC06C1" w:rsidP="00EC06C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5D0834">
        <w:rPr>
          <w:rFonts w:ascii="Times New Roman" w:hAnsi="Times New Roman"/>
          <w:szCs w:val="28"/>
          <w:lang w:val="kk-KZ"/>
        </w:rPr>
        <w:t>b) Қаржылық есептіліктің мөлдірлігін күшейту және субъектіге есептік пен есептілік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жүргізу бойынша міндеттерін жақсы орындауына мүмкіндік беру.</w:t>
      </w:r>
    </w:p>
    <w:p w14:paraId="7ECD38D4" w14:textId="77777777" w:rsidR="00EC06C1" w:rsidRPr="005D0834" w:rsidRDefault="00EC06C1" w:rsidP="00EC06C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5D0834">
        <w:rPr>
          <w:rFonts w:ascii="Times New Roman" w:hAnsi="Times New Roman"/>
          <w:szCs w:val="28"/>
          <w:lang w:val="kk-KZ"/>
        </w:rPr>
        <w:t>Қолдану аясы. Қаржылық есептілікті есептеу әдісімен құратын және тапсыратын субъект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осы Стандартты сегмент бойынша ақпарат тапсыру кезінде қолдануы тиіс. Осы Стандарт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мемлекеттік коммерциялық кәсіпорындардан басқа барлық қоғамдық сектор субъектілеріне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қолданылады</w:t>
      </w:r>
    </w:p>
    <w:p w14:paraId="220A2A08" w14:textId="2C946D99" w:rsidR="00EC06C1" w:rsidRPr="005D0834" w:rsidRDefault="00EC06C1" w:rsidP="00EC06C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5D0834">
        <w:rPr>
          <w:rFonts w:ascii="Times New Roman" w:hAnsi="Times New Roman"/>
          <w:szCs w:val="28"/>
          <w:lang w:val="kk-KZ"/>
        </w:rPr>
        <w:t>ҚС ХҚЕС жариялаған Қоғамдық сектор үшін қаржылық есептіліктің халықаралық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стандартының алғы сөзінде мемлекеттік коммерциялық кәсіпорындар (МКК) ҚЕХСК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шығарған ҚЕХС қолданады. «МКК» терминінің анықтамасы «Қаржылық есептілікті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ұсыну» 1 ҚС ХҚЕС көрсетілген. Осы Стандарт ҚС ХҚЕС сәйкес келетін қаржылық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есептілікте жарияланатын құжаттардың толық жынтығына қолданылуы керек.</w:t>
      </w:r>
    </w:p>
    <w:p w14:paraId="7AFB490C" w14:textId="77777777" w:rsidR="00EC06C1" w:rsidRPr="005D0834" w:rsidRDefault="00EC06C1" w:rsidP="00EC06C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5D0834">
        <w:rPr>
          <w:rFonts w:ascii="Times New Roman" w:hAnsi="Times New Roman"/>
          <w:szCs w:val="28"/>
          <w:lang w:val="kk-KZ"/>
        </w:rPr>
        <w:t>Қаржылық есептіліктің толық жинақталым құжаты қаржылық жағдай туралы есепті,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қаржылық қызмет нәтижелері туралы есепті, ақшалай қаржы қозғалысы туралы есепті, таза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активтер/капиталдардағы өзгерістер туралы есеп пен «Қаржылық есептілік ұсыну» 1 ҚС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ХҚЕС ескерілген түсіндірме хаттарды қамтиды.</w:t>
      </w:r>
    </w:p>
    <w:p w14:paraId="152E50E4" w14:textId="77777777" w:rsidR="00EC06C1" w:rsidRPr="005D0834" w:rsidRDefault="00EC06C1" w:rsidP="00EC06C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5D0834">
        <w:rPr>
          <w:rFonts w:ascii="Times New Roman" w:hAnsi="Times New Roman"/>
          <w:szCs w:val="28"/>
          <w:lang w:val="kk-KZ"/>
        </w:rPr>
        <w:t>Үкімет пен басқа экономикалық субъектінің шоғырландырылған қаржылық есептілігі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мен шоғырланушы субъектінің жеке қаржылық есептілігі бірігіп ұсынылған жағдайларда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сегмент бойынша ақпарат шоғырландырылған қаржылық есептілік негізінде ғана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ұсынылуы қажет.</w:t>
      </w:r>
    </w:p>
    <w:p w14:paraId="2CE1F44D" w14:textId="77777777" w:rsidR="00EC06C1" w:rsidRPr="005D0834" w:rsidRDefault="00EC06C1" w:rsidP="00EC06C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5D0834">
        <w:rPr>
          <w:rFonts w:ascii="Times New Roman" w:hAnsi="Times New Roman"/>
          <w:szCs w:val="28"/>
          <w:lang w:val="kk-KZ"/>
        </w:rPr>
        <w:t>Кейбір елдерде үкімет пен басқа экономикалық субъектінің шоғырландырылған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қаржылық есептілігі мен шоғырланушы субъектінің жеке қаржылық есептілігі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шоғырландырылып бірегей есеп ретінде ұсынылады. Мұндай жағдайда үкіметтік және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басқа шоғырланушы субъектінің шоғырландырылған қаржылық есептілігінен тұратын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есеп, шоғырландырылған қаржылық есептілік бойынша ғана сегменттік ақпаратты ашады.</w:t>
      </w:r>
    </w:p>
    <w:p w14:paraId="7365EDA9" w14:textId="77777777" w:rsidR="00EC06C1" w:rsidRPr="005D0834" w:rsidRDefault="00EC06C1" w:rsidP="00EC06C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5D0834">
        <w:rPr>
          <w:rFonts w:ascii="Times New Roman" w:hAnsi="Times New Roman"/>
          <w:szCs w:val="28"/>
          <w:lang w:val="kk-KZ"/>
        </w:rPr>
        <w:lastRenderedPageBreak/>
        <w:t>Осы Стандартта келесі терминдер төмендегідей мағынада қолданылады:</w:t>
      </w:r>
    </w:p>
    <w:p w14:paraId="285B555F" w14:textId="77777777" w:rsidR="00EC06C1" w:rsidRPr="005D0834" w:rsidRDefault="00EC06C1" w:rsidP="00EC06C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5D0834">
        <w:rPr>
          <w:rFonts w:ascii="Times New Roman" w:hAnsi="Times New Roman"/>
          <w:szCs w:val="28"/>
          <w:lang w:val="kk-KZ"/>
        </w:rPr>
        <w:t>Сегмент – келесі мақсаттарда, (а) субъектінің мақсаттарына қол жеткізуіндегі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тиімділігін бағалауда, және (ә) келешектегі қорларды бөлу туралы шешім қабылдауда, жеке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қаржылық ақпарат құрылатын субъектінің жеке бағытталған және біршама бағытталған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қызметі</w:t>
      </w:r>
    </w:p>
    <w:p w14:paraId="52E6E36B" w14:textId="77777777" w:rsidR="00EC06C1" w:rsidRDefault="00EC06C1" w:rsidP="00EC06C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5D0834">
        <w:rPr>
          <w:rFonts w:ascii="Times New Roman" w:hAnsi="Times New Roman"/>
          <w:szCs w:val="28"/>
          <w:lang w:val="kk-KZ"/>
        </w:rPr>
        <w:t>Мемлекеттiк органдар және олардың ведомстволары маңызды қоғамдық қорларды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бақылайды және әр түрлi географиялық аймақтардағы, әр түрлi әлеуметтiк-экономикалық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сипаттағы өзінің өкілдерін әр алуан тауарлар ауқымымен қамтамасыз етеді. Кейбiр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жағдайларда субъект мақсатқа жету үшiн бар қорларды тиiмдi және нәтижелi пайдалануы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туралы ресми талаптардың болуы болжалады. Барлық субъектіні қамтитын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шоғырландырылған қаржылық есептілік мыналарды бақылауға мүмкіндік береді</w:t>
      </w:r>
      <w:r>
        <w:rPr>
          <w:rFonts w:ascii="Times New Roman" w:hAnsi="Times New Roman"/>
          <w:szCs w:val="28"/>
          <w:lang w:val="kk-KZ"/>
        </w:rPr>
        <w:t>:</w:t>
      </w:r>
    </w:p>
    <w:p w14:paraId="7EAF6BC4" w14:textId="77777777" w:rsidR="00EC06C1" w:rsidRDefault="00EC06C1" w:rsidP="00EC06C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5D0834">
        <w:rPr>
          <w:rFonts w:ascii="Times New Roman" w:hAnsi="Times New Roman"/>
          <w:szCs w:val="28"/>
          <w:lang w:val="kk-KZ"/>
        </w:rPr>
        <w:t>а) есеп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беруші субъекті бақылайтын және</w:t>
      </w:r>
      <w:r>
        <w:rPr>
          <w:rFonts w:ascii="Times New Roman" w:hAnsi="Times New Roman"/>
          <w:szCs w:val="28"/>
          <w:lang w:val="kk-KZ"/>
        </w:rPr>
        <w:t xml:space="preserve"> қабылдаған міндеттемелерді;</w:t>
      </w:r>
    </w:p>
    <w:p w14:paraId="2AC62DA0" w14:textId="77777777" w:rsidR="00EC06C1" w:rsidRDefault="00EC06C1" w:rsidP="00EC06C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5D0834">
        <w:rPr>
          <w:rFonts w:ascii="Times New Roman" w:hAnsi="Times New Roman"/>
          <w:szCs w:val="28"/>
          <w:lang w:val="kk-KZ"/>
        </w:rPr>
        <w:t>b) көрсетілген қызметтің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өзіндік құнын</w:t>
      </w:r>
      <w:r>
        <w:rPr>
          <w:rFonts w:ascii="Times New Roman" w:hAnsi="Times New Roman"/>
          <w:szCs w:val="28"/>
          <w:lang w:val="kk-KZ"/>
        </w:rPr>
        <w:t>;</w:t>
      </w:r>
    </w:p>
    <w:p w14:paraId="0FD10A80" w14:textId="77777777" w:rsidR="00EC06C1" w:rsidRPr="005D0834" w:rsidRDefault="00EC06C1" w:rsidP="00EC06C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5D0834">
        <w:rPr>
          <w:rFonts w:ascii="Times New Roman" w:hAnsi="Times New Roman"/>
          <w:szCs w:val="28"/>
          <w:lang w:val="kk-KZ"/>
        </w:rPr>
        <w:t>c) осы қызметті қаржыландыру үшін қолданылатын салық түсімдері,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бөлінген бюджеттік қаржы мен шығындарды өтеуді. Дегенмен мұндай біріктірілген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ақпарат, ерекше операциялық мақсаттар мен есеп беруші субъекті қызметінің бағыттарын,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сондай-ақ осы мақсаттар мен операцияларды жүзеге асыруға ресурстар мен шығындарды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бейнелемейді.</w:t>
      </w:r>
    </w:p>
    <w:p w14:paraId="618C8CE4" w14:textId="77777777" w:rsidR="00EC06C1" w:rsidRPr="005D0834" w:rsidRDefault="00EC06C1" w:rsidP="00EC06C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5D0834">
        <w:rPr>
          <w:rFonts w:ascii="Times New Roman" w:hAnsi="Times New Roman"/>
          <w:szCs w:val="28"/>
          <w:lang w:val="kk-KZ"/>
        </w:rPr>
        <w:t>Субъектiнiң белсендiлiгi көп жағдайда көлемдi және сипаттама әр түрлi географиялық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аймақтар немесе әр түрлi әлеуметтiк-экономикалық сипаттағы аймақтар қатарын қамтиды.</w:t>
      </w:r>
    </w:p>
    <w:p w14:paraId="6805F01A" w14:textId="77777777" w:rsidR="00EC06C1" w:rsidRPr="005D0834" w:rsidRDefault="00EC06C1" w:rsidP="00EC06C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5D0834">
        <w:rPr>
          <w:rFonts w:ascii="Times New Roman" w:hAnsi="Times New Roman"/>
          <w:szCs w:val="28"/>
          <w:lang w:val="kk-KZ"/>
        </w:rPr>
        <w:t>Субъектiнiң жеке сегменттерi туралы есеп беру және шешiм қабылдау үшiн бұл маңызды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ақпаратты ашу мақсатында нақтыланған қаржылық және қаржылық емес ақпарат ұсыну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керек.</w:t>
      </w:r>
    </w:p>
    <w:p w14:paraId="46D8F727" w14:textId="77777777" w:rsidR="00EC06C1" w:rsidRDefault="00EC06C1" w:rsidP="00EC06C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5D0834">
        <w:rPr>
          <w:rFonts w:ascii="Times New Roman" w:hAnsi="Times New Roman"/>
          <w:szCs w:val="28"/>
          <w:lang w:val="kk-KZ"/>
        </w:rPr>
        <w:t>Субъект өзінің жекеленген сегменттерін осы Стандарттың 9-параграфының талаптарына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сәйкес анықтайды және осы Стандарттың 51 -75 параграфтарына сәйкес олар туралы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ақпаратты ұсынады. Қоғамдық сектор субъектілері осы Стандартқа сәйкес бұрынғы кезеңде</w:t>
      </w:r>
      <w:r>
        <w:rPr>
          <w:rFonts w:ascii="Times New Roman" w:hAnsi="Times New Roman"/>
          <w:szCs w:val="28"/>
          <w:lang w:val="kk-KZ"/>
        </w:rPr>
        <w:t xml:space="preserve">  </w:t>
      </w:r>
      <w:r w:rsidRPr="005D0834">
        <w:rPr>
          <w:rFonts w:ascii="Times New Roman" w:hAnsi="Times New Roman"/>
          <w:szCs w:val="28"/>
          <w:lang w:val="kk-KZ"/>
        </w:rPr>
        <w:t>оларға оның тапсырмаларын орындауда субъекті қызметін бағалау мақсатында</w:t>
      </w:r>
      <w:r>
        <w:rPr>
          <w:rFonts w:ascii="Times New Roman" w:hAnsi="Times New Roman"/>
          <w:szCs w:val="28"/>
          <w:lang w:val="kk-KZ"/>
        </w:rPr>
        <w:t>:</w:t>
      </w:r>
    </w:p>
    <w:p w14:paraId="0C8E679E" w14:textId="77777777" w:rsidR="00EC06C1" w:rsidRDefault="00EC06C1" w:rsidP="00EC06C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5D0834">
        <w:rPr>
          <w:rFonts w:ascii="Times New Roman" w:hAnsi="Times New Roman"/>
          <w:szCs w:val="28"/>
          <w:lang w:val="kk-KZ"/>
        </w:rPr>
        <w:t>а)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қаржылық ақпарат ұсынылуымен жекеленген сегменттер түрінде әрбір белгеленген қызмет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немесе қызмет бағытының жиынтығын</w:t>
      </w:r>
      <w:r>
        <w:rPr>
          <w:rFonts w:ascii="Times New Roman" w:hAnsi="Times New Roman"/>
          <w:szCs w:val="28"/>
          <w:lang w:val="kk-KZ"/>
        </w:rPr>
        <w:t>;</w:t>
      </w:r>
    </w:p>
    <w:p w14:paraId="4E29C0B6" w14:textId="77777777" w:rsidR="00EC06C1" w:rsidRPr="005D0834" w:rsidRDefault="00EC06C1" w:rsidP="00EC06C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5D0834">
        <w:rPr>
          <w:rFonts w:ascii="Times New Roman" w:hAnsi="Times New Roman"/>
          <w:szCs w:val="28"/>
          <w:lang w:val="kk-KZ"/>
        </w:rPr>
        <w:t>b) қорды үлестірудегі олардың шешім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5D0834">
        <w:rPr>
          <w:rFonts w:ascii="Times New Roman" w:hAnsi="Times New Roman"/>
          <w:szCs w:val="28"/>
          <w:lang w:val="kk-KZ"/>
        </w:rPr>
        <w:t>қабылдауларын анықтайды.</w:t>
      </w:r>
    </w:p>
    <w:p w14:paraId="32D2D551" w14:textId="77777777" w:rsidR="00EC06C1" w:rsidRDefault="00EC06C1" w:rsidP="00EC06C1">
      <w:pPr>
        <w:pStyle w:val="11"/>
        <w:ind w:left="1219"/>
        <w:jc w:val="both"/>
        <w:rPr>
          <w:rFonts w:ascii="Times New Roman" w:hAnsi="Times New Roman"/>
          <w:b/>
          <w:sz w:val="24"/>
          <w:lang w:val="kk-KZ"/>
        </w:rPr>
      </w:pPr>
    </w:p>
    <w:p w14:paraId="5D4E5E0A" w14:textId="77777777" w:rsidR="00EC06C1" w:rsidRDefault="00EC06C1" w:rsidP="00EC06C1">
      <w:pPr>
        <w:pStyle w:val="11"/>
        <w:ind w:left="1219"/>
        <w:jc w:val="both"/>
        <w:rPr>
          <w:rFonts w:ascii="Times New Roman" w:hAnsi="Times New Roman"/>
          <w:b/>
          <w:sz w:val="24"/>
          <w:lang w:val="kk-KZ"/>
        </w:rPr>
      </w:pPr>
    </w:p>
    <w:p w14:paraId="227A88C4" w14:textId="77777777" w:rsidR="00EC06C1" w:rsidRDefault="00EC06C1" w:rsidP="00EC06C1">
      <w:pPr>
        <w:pStyle w:val="11"/>
        <w:ind w:left="121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035B70">
        <w:rPr>
          <w:rFonts w:ascii="TimesNewRomanPS-BoldMT" w:hAnsi="TimesNewRomanPS-BoldMT"/>
          <w:b/>
          <w:bCs/>
          <w:color w:val="000000"/>
          <w:szCs w:val="28"/>
          <w:lang w:val="kk-KZ"/>
        </w:rPr>
        <w:t>Бақылау сұрақтары</w:t>
      </w:r>
    </w:p>
    <w:p w14:paraId="51DD8697" w14:textId="77777777" w:rsidR="00EC06C1" w:rsidRDefault="00EC06C1" w:rsidP="00EC06C1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096D07">
        <w:rPr>
          <w:rFonts w:ascii="TimesNewRomanPSMT" w:hAnsi="TimesNewRomanPSMT"/>
          <w:color w:val="000000"/>
          <w:szCs w:val="28"/>
          <w:lang w:val="kk-KZ"/>
        </w:rPr>
        <w:t xml:space="preserve">Қызметтер сегменті жəне географиялық сегмент </w:t>
      </w:r>
    </w:p>
    <w:p w14:paraId="3A814252" w14:textId="77777777" w:rsidR="00EC06C1" w:rsidRPr="00352898" w:rsidRDefault="00EC06C1" w:rsidP="00EC06C1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096D07">
        <w:rPr>
          <w:rFonts w:ascii="TimesNewRomanPSMT" w:hAnsi="TimesNewRomanPSMT"/>
          <w:color w:val="000000"/>
          <w:szCs w:val="28"/>
          <w:lang w:val="kk-KZ"/>
        </w:rPr>
        <w:t>Көпшілік сегменттілік</w:t>
      </w:r>
    </w:p>
    <w:p w14:paraId="0BDA1A1C" w14:textId="77777777" w:rsidR="00EC06C1" w:rsidRPr="00352898" w:rsidRDefault="00EC06C1" w:rsidP="00EC06C1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096D07">
        <w:rPr>
          <w:rFonts w:ascii="TimesNewRomanPSMT" w:hAnsi="TimesNewRomanPSMT"/>
          <w:color w:val="000000"/>
          <w:szCs w:val="28"/>
          <w:lang w:val="kk-KZ"/>
        </w:rPr>
        <w:t>Есептіліктің сəйкес емес құрылымы</w:t>
      </w:r>
    </w:p>
    <w:p w14:paraId="4928613D" w14:textId="77777777" w:rsidR="00EC06C1" w:rsidRPr="00096D07" w:rsidRDefault="00EC06C1" w:rsidP="00EC06C1">
      <w:pPr>
        <w:pStyle w:val="11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lang w:val="kk-KZ"/>
        </w:rPr>
      </w:pPr>
      <w:r w:rsidRPr="00096D07">
        <w:rPr>
          <w:rFonts w:ascii="TimesNewRomanPSMT" w:hAnsi="TimesNewRomanPSMT"/>
          <w:color w:val="000000"/>
          <w:szCs w:val="28"/>
          <w:lang w:val="kk-KZ"/>
        </w:rPr>
        <w:t>Баптарды сегменттерге жатқызу</w:t>
      </w:r>
    </w:p>
    <w:p w14:paraId="2D273C6D" w14:textId="77777777" w:rsidR="00EC06C1" w:rsidRPr="00096D07" w:rsidRDefault="00EC06C1" w:rsidP="00EC06C1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Cs w:val="28"/>
          <w:lang w:val="kk-KZ"/>
        </w:rPr>
      </w:pPr>
      <w:r w:rsidRPr="00096D07">
        <w:rPr>
          <w:rFonts w:ascii="Times New Roman" w:hAnsi="Times New Roman"/>
          <w:szCs w:val="28"/>
          <w:lang w:val="kk-KZ"/>
        </w:rPr>
        <w:t>Сегменттің есептік саясаты</w:t>
      </w:r>
    </w:p>
    <w:p w14:paraId="1C122A05" w14:textId="77777777" w:rsidR="00CB0C24" w:rsidRDefault="00CB0C24"/>
    <w:sectPr w:rsidR="00CB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497765"/>
    <w:multiLevelType w:val="hybridMultilevel"/>
    <w:tmpl w:val="3E2EF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37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EC"/>
    <w:rsid w:val="00264371"/>
    <w:rsid w:val="003E4FE7"/>
    <w:rsid w:val="00466458"/>
    <w:rsid w:val="008E7D03"/>
    <w:rsid w:val="00BB4FB8"/>
    <w:rsid w:val="00CB0C24"/>
    <w:rsid w:val="00D876DE"/>
    <w:rsid w:val="00E051EC"/>
    <w:rsid w:val="00E13AEC"/>
    <w:rsid w:val="00E37EF3"/>
    <w:rsid w:val="00EC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CBF9"/>
  <w15:chartTrackingRefBased/>
  <w15:docId w15:val="{3708E0AD-B211-4ABF-AA6D-B8EBD21B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3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3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3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3A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3A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3A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3A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3A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3A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3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3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3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3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3A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3A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3A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3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3A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3AEC"/>
    <w:rPr>
      <w:b/>
      <w:bCs/>
      <w:smallCaps/>
      <w:color w:val="0F4761" w:themeColor="accent1" w:themeShade="BF"/>
      <w:spacing w:val="5"/>
    </w:rPr>
  </w:style>
  <w:style w:type="paragraph" w:customStyle="1" w:styleId="11">
    <w:name w:val="Без интервала1"/>
    <w:rsid w:val="00EC06C1"/>
    <w:pPr>
      <w:spacing w:after="0" w:line="240" w:lineRule="auto"/>
    </w:pPr>
    <w:rPr>
      <w:rFonts w:ascii="Arial" w:eastAsia="Calibri" w:hAnsi="Arial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Тажикенова Сапия Каргабаевна</dc:creator>
  <cp:keywords/>
  <dc:description/>
  <cp:lastModifiedBy>Тажикенова Сапия Каргабаевна</cp:lastModifiedBy>
  <cp:revision>5</cp:revision>
  <dcterms:created xsi:type="dcterms:W3CDTF">2024-10-28T04:13:00Z</dcterms:created>
  <dcterms:modified xsi:type="dcterms:W3CDTF">2024-10-29T13:56:00Z</dcterms:modified>
</cp:coreProperties>
</file>