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80E01" w14:textId="558F32E5" w:rsidR="00CA371F" w:rsidRDefault="00CA371F" w:rsidP="00CA371F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Тақырып </w:t>
      </w:r>
      <w:r>
        <w:rPr>
          <w:rFonts w:ascii="TimesNewRomanPS-BoldMT" w:hAnsi="TimesNewRomanPS-BoldMT"/>
          <w:b/>
          <w:bCs/>
          <w:color w:val="000000"/>
          <w:szCs w:val="28"/>
          <w:lang w:val="kk-KZ"/>
        </w:rPr>
        <w:t>1</w:t>
      </w:r>
      <w:r w:rsidR="00AC066C">
        <w:rPr>
          <w:rFonts w:ascii="TimesNewRomanPS-BoldMT" w:hAnsi="TimesNewRomanPS-BoldMT"/>
          <w:b/>
          <w:bCs/>
          <w:color w:val="000000"/>
          <w:szCs w:val="28"/>
          <w:lang w:val="kk-KZ"/>
        </w:rPr>
        <w:t>1</w:t>
      </w: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 xml:space="preserve">. </w:t>
      </w:r>
      <w:r w:rsidRPr="00652F6E">
        <w:rPr>
          <w:rFonts w:ascii="TimesNewRomanPSMT" w:hAnsi="TimesNewRomanPSMT"/>
          <w:color w:val="000000"/>
          <w:szCs w:val="28"/>
          <w:lang w:val="kk-KZ"/>
        </w:rPr>
        <w:t>Гиперинфляция жағдайындағы қаржылық есептілік</w:t>
      </w:r>
      <w:r>
        <w:rPr>
          <w:rFonts w:ascii="TimesNewRomanPSMT" w:hAnsi="TimesNewRomanPSMT"/>
          <w:color w:val="000000"/>
          <w:sz w:val="22"/>
          <w:szCs w:val="22"/>
          <w:lang w:val="kk-KZ"/>
        </w:rPr>
        <w:t>.</w:t>
      </w:r>
      <w:r w:rsidRPr="00867FD1">
        <w:rPr>
          <w:rFonts w:ascii="TimesNewRomanPSMT" w:hAnsi="TimesNewRomanPSMT"/>
          <w:color w:val="000000"/>
          <w:szCs w:val="28"/>
          <w:lang w:val="kk-KZ"/>
        </w:rPr>
        <w:t xml:space="preserve"> </w:t>
      </w:r>
    </w:p>
    <w:p w14:paraId="433DFAC7" w14:textId="77777777" w:rsidR="00CA371F" w:rsidRDefault="00CA371F" w:rsidP="00CA371F">
      <w:pPr>
        <w:pStyle w:val="11"/>
        <w:ind w:firstLine="709"/>
        <w:jc w:val="both"/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</w:pPr>
    </w:p>
    <w:p w14:paraId="3BCA89E5" w14:textId="77777777" w:rsidR="00CA371F" w:rsidRDefault="00CA371F" w:rsidP="00CA371F">
      <w:pPr>
        <w:pStyle w:val="11"/>
        <w:ind w:firstLine="709"/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82F26">
        <w:rPr>
          <w:rFonts w:ascii="TimesNewRomanPS-BoldItalicMT" w:hAnsi="TimesNewRomanPS-BoldItalicMT"/>
          <w:b/>
          <w:bCs/>
          <w:i/>
          <w:iCs/>
          <w:color w:val="000000"/>
          <w:szCs w:val="28"/>
          <w:lang w:val="kk-KZ"/>
        </w:rPr>
        <w:t xml:space="preserve">Дәрістің мақсаты: </w:t>
      </w:r>
      <w:r w:rsidRPr="00652F6E">
        <w:rPr>
          <w:rFonts w:ascii="TimesNewRomanPSMT" w:hAnsi="TimesNewRomanPSMT"/>
          <w:color w:val="000000"/>
          <w:szCs w:val="28"/>
          <w:lang w:val="kk-KZ"/>
        </w:rPr>
        <w:t xml:space="preserve">Гиперинфляция жағдайындағы қаржылық есептілік </w:t>
      </w:r>
      <w:r>
        <w:rPr>
          <w:rFonts w:ascii="TimesNewRomanPSMT" w:hAnsi="TimesNewRomanPSMT"/>
          <w:color w:val="000000"/>
          <w:szCs w:val="28"/>
          <w:lang w:val="kk-KZ"/>
        </w:rPr>
        <w:t>жайлы түсінік беру</w:t>
      </w:r>
    </w:p>
    <w:p w14:paraId="6418FBB8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</w:p>
    <w:p w14:paraId="2D7DA068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F82F26">
        <w:rPr>
          <w:rFonts w:ascii="TimesNewRomanPS-BoldMT" w:hAnsi="TimesNewRomanPS-BoldMT"/>
          <w:b/>
          <w:bCs/>
          <w:color w:val="000000"/>
          <w:szCs w:val="28"/>
          <w:lang w:val="kk-KZ"/>
        </w:rPr>
        <w:t>Дәріс сабағының жоспары</w:t>
      </w:r>
    </w:p>
    <w:p w14:paraId="477F7219" w14:textId="77777777" w:rsidR="00CA371F" w:rsidRPr="0014336B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>1.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E73AA0">
        <w:rPr>
          <w:rFonts w:ascii="TimesNewRomanPS-BoldMT" w:hAnsi="TimesNewRomanPS-BoldMT"/>
          <w:bCs/>
          <w:color w:val="000000"/>
          <w:szCs w:val="28"/>
          <w:lang w:val="kk-KZ"/>
        </w:rPr>
        <w:t>Гиперинфляция жағдайынан туындайтын экономика</w:t>
      </w:r>
    </w:p>
    <w:p w14:paraId="7F490B62" w14:textId="77777777" w:rsidR="00CA371F" w:rsidRPr="00E73AA0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14336B">
        <w:rPr>
          <w:rFonts w:ascii="TimesNewRomanPS-BoldMT" w:hAnsi="TimesNewRomanPS-BoldMT"/>
          <w:bCs/>
          <w:color w:val="000000"/>
          <w:szCs w:val="28"/>
          <w:lang w:val="kk-KZ"/>
        </w:rPr>
        <w:t xml:space="preserve">2. </w:t>
      </w:r>
      <w:r w:rsidRPr="00E73AA0">
        <w:rPr>
          <w:rFonts w:ascii="TimesNewRomanPS-BoldMT" w:hAnsi="TimesNewRomanPS-BoldMT"/>
          <w:bCs/>
          <w:color w:val="000000"/>
          <w:szCs w:val="28"/>
          <w:lang w:val="kk-KZ"/>
        </w:rPr>
        <w:t>Қаржылық есептіліктің қайта есептелуі</w:t>
      </w:r>
    </w:p>
    <w:p w14:paraId="3046BACB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</w:p>
    <w:p w14:paraId="2478D1E4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Бұл Стандарттың мақсаты экономикасы гиперинфляция жағдайындағы елдің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валютасында тұлғаның шоғырландырылған жəне жеке есептілігіндегі есептеу тəртібін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бекіту болып табылады. Сол сияқты осы Стандартпен экономика гиперинфляциялы болуын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тоқтатқанда да есептеу тəртібін анықтауға да болады.</w:t>
      </w:r>
    </w:p>
    <w:p w14:paraId="4A18F0FE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Есептеу əдісі бойынша қаржылық есептілікті құраушы жəне оның өкілі болыптабылатын тұлға осы Стандартты экономикасы гиперинфляция жағдайындағы елдің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шоғырландырылған есептілігіндегі есептеу тəртібін қоса алғандағы алғашқы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қаржылық есептілікті дайындауда пайдалануы қажет.</w:t>
      </w:r>
    </w:p>
    <w:p w14:paraId="39E21FF5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Осы Стандарт мемлекеттік коммерциялық кəсіпорындардан басқа қоғамдық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сектордың барлық тұлғаларына қолданылады.</w:t>
      </w:r>
    </w:p>
    <w:p w14:paraId="32F0D21F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ҚСҚЕС жарияланған Қоғамдық сектор үшін халықаралық қаржылық есептілік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стандартының (ҚСҚЕХС) алғы сөзіне сəйкес, мемлекеттік коммерциялық кəсіпорындар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(МКК) ҚЕХСК жарияланған ҚЕХС қолданады. «МКК» термині «Қаржылық есептілікті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ұсыну» 1 ҚСҚЕХС берілген.</w:t>
      </w:r>
    </w:p>
    <w:p w14:paraId="5BB9BA1D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Гиперинфляция жағдайында шаруашылық қызметтің нəтижесі жəне жергілікті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валютаның жағдайы туралы есептілікті жүргізу қайта есептелмесе пайдасыз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>.</w:t>
      </w:r>
    </w:p>
    <w:p w14:paraId="7F25D5FB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Осы Стандарт гиперинфляция кезеңіне өткенін көрсеткен инфляция қарқынының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абсолюттік мəнін бекітпейді. Осы Стандартқа сай қаржылық есептілікті қайта есептеудің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қажеттілігі туралы шешім сарапшылық бағалау негізінде қолданылады. Қарастырылып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отырған елде гиперинфляцияның болуын төмендегідей белгілері бар экономикалық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914376">
        <w:rPr>
          <w:rFonts w:ascii="TimesNewRomanPS-BoldMT" w:hAnsi="TimesNewRomanPS-BoldMT"/>
          <w:bCs/>
          <w:color w:val="000000"/>
          <w:szCs w:val="28"/>
          <w:lang w:val="kk-KZ"/>
        </w:rPr>
        <w:t>жағдайының сипаты көрсетеді:</w:t>
      </w:r>
    </w:p>
    <w:p w14:paraId="698EEA27" w14:textId="77777777" w:rsidR="00CA371F" w:rsidRPr="000B5B0D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a) Халықтың негізгі бөлігі өздерінің жинақтаған қорын ақшалай емес құндылықтар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жиынтығы ретінде немесе салыстырмалы тұрақты шетел валютасы түрінде сақтауға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тырысады. Жергілікті валюта тез арада сатып алу қабілетін бағамды қолдау үшін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қаржыланады;</w:t>
      </w:r>
    </w:p>
    <w:p w14:paraId="2AB9D0A2" w14:textId="77777777" w:rsidR="00CA371F" w:rsidRPr="000B5B0D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b) Халықтың негізгі бөлігі ақшалай қаражатты жергілікті валюта емес, салыстырмалы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тұрақты шетел валютасы түрінде сақтағанды бағалайды. Құнды осы валютада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көрсетуі мүмкін;</w:t>
      </w:r>
    </w:p>
    <w:p w14:paraId="358590FF" w14:textId="77777777" w:rsidR="00CA371F" w:rsidRPr="000B5B0D" w:rsidRDefault="00CA371F" w:rsidP="00CA371F">
      <w:pPr>
        <w:pStyle w:val="11"/>
        <w:widowControl w:val="0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c) Несиеге сату мен сатып алу несиелеу мерзімі ішінде, тіпті бұл мерзім қысқа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болғанда да, валютаның сатып алу қабілетінің күткен төмендеуінің орнын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толтырады;</w:t>
      </w:r>
    </w:p>
    <w:p w14:paraId="60185EAD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d) Пайыз көлемі, енбекті төлеу жəне бағал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>ар баға көрсеткішіне байланысты</w:t>
      </w:r>
    </w:p>
    <w:p w14:paraId="21F4FD19" w14:textId="77777777" w:rsidR="00CA371F" w:rsidRDefault="00CA371F" w:rsidP="00CA371F">
      <w:pPr>
        <w:pStyle w:val="11"/>
        <w:ind w:firstLine="709"/>
        <w:jc w:val="both"/>
        <w:rPr>
          <w:rFonts w:ascii="TimesNewRomanPSMT" w:hAnsi="TimesNewRomanPSMT"/>
          <w:color w:val="000000"/>
          <w:lang w:val="kk-KZ"/>
        </w:rPr>
      </w:pPr>
      <w:r w:rsidRPr="000B5B0D">
        <w:rPr>
          <w:rFonts w:ascii="TimesNewRomanPSMT" w:hAnsi="TimesNewRomanPSMT"/>
          <w:color w:val="000000"/>
          <w:lang w:val="kk-KZ"/>
        </w:rPr>
        <w:lastRenderedPageBreak/>
        <w:t>e) Үш жыл ішіндегі құнсызданудың көрсеткіші 100% жақындайды немесе артады.</w:t>
      </w:r>
    </w:p>
    <w:p w14:paraId="4E9E7149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Бағалар уақыт ағымымен əртүрлі ерекшеліктер немесе жалпы саяси, экономикалық,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əлеуметтік шарттардың əсері нəтижесінде өзгереді. Мұндай ерекше шарттар сұраныс пен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ұсыныстардың өзгерістері жəне технологиялық өзгерістер сияқты бір-біріне тəуелсіз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жекелеген бағалардың біраз көтерілуіне немесе төмендеуіне əкелуі мүмкін. Одан басқа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жалпы сипаттағы шарттар бағаның жалпы деңгейіндегі өзгерістерге жəне осылайша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ақшаның жалпы сатып алу қабілетінің өзгерістеріне əкелуі мүмкін.</w:t>
      </w:r>
    </w:p>
    <w:p w14:paraId="2F6CE91E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Экономикасы гиперинфляция жағдайындағы елдерде қаржылық есептемелік тек есеп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беріп отырған мерзімдегі өлшем бірлігімен берілгенде ғана пайдалы. Осыған орай бұл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Стандарт экономикасы гиперинфляция жағдайындағы елдің валютасымен есептелген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тұлғаның алғашқы қаржылық есептемесінде қолданылады. Осы Стандарттың талабы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бойынша берілген ақпараттар есептелмеген қаржылық есептілікке толықтырулар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сипатында жіберуге рұқсат берілмейді. Одан да басқа қайта есептеуге дейінгі жекелеген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қаржылық есептемелерге тапсырыстар жіберуге рұқсат берілмейді.</w:t>
      </w:r>
    </w:p>
    <w:p w14:paraId="0037F773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Көптеген қоғамдық сектордағы тұлғалар өздерінің қаржылық есептіліктеріне қатысты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бюджеттік ақпараттарды бюджетпен салыстыруды жеңілдету үшін кіргізеді. Егер осындай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0B5B0D">
        <w:rPr>
          <w:rFonts w:ascii="TimesNewRomanPS-BoldMT" w:hAnsi="TimesNewRomanPS-BoldMT"/>
          <w:bCs/>
          <w:color w:val="000000"/>
          <w:szCs w:val="28"/>
          <w:lang w:val="kk-KZ"/>
        </w:rPr>
        <w:t>жағдай орын алғанда бюджеттік ақпаратты осы Стандартқа сай етіп қайта есептеу қажет.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352898">
        <w:rPr>
          <w:rFonts w:ascii="TimesNewRomanPS-BoldMT" w:hAnsi="TimesNewRomanPS-BoldMT"/>
          <w:bCs/>
          <w:color w:val="000000"/>
          <w:szCs w:val="28"/>
          <w:lang w:val="kk-KZ"/>
        </w:rPr>
        <w:t>Қаржылық есептілікте таза ақшалай ұстанымның кірісі мен шығысы жеке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352898">
        <w:rPr>
          <w:rFonts w:ascii="TimesNewRomanPS-BoldMT" w:hAnsi="TimesNewRomanPS-BoldMT"/>
          <w:bCs/>
          <w:color w:val="000000"/>
          <w:szCs w:val="28"/>
          <w:lang w:val="kk-KZ"/>
        </w:rPr>
        <w:t>көрсетілуі керек.</w:t>
      </w:r>
    </w:p>
    <w:p w14:paraId="7E1C9831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352898">
        <w:rPr>
          <w:rFonts w:ascii="TimesNewRomanPS-BoldMT" w:hAnsi="TimesNewRomanPS-BoldMT"/>
          <w:bCs/>
          <w:color w:val="000000"/>
          <w:szCs w:val="28"/>
          <w:lang w:val="kk-KZ"/>
        </w:rPr>
        <w:t>Осы Стандарттың талабы мен қаржылық есептіліктің сəйкес келуін қайта қарастыру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352898">
        <w:rPr>
          <w:rFonts w:ascii="TimesNewRomanPS-BoldMT" w:hAnsi="TimesNewRomanPS-BoldMT"/>
          <w:bCs/>
          <w:color w:val="000000"/>
          <w:szCs w:val="28"/>
          <w:lang w:val="kk-KZ"/>
        </w:rPr>
        <w:t>арнайы рəсімді, сол сияқты бағаларды сараптауды қажет етеді. Кезеңнен кезеңге дейін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352898">
        <w:rPr>
          <w:rFonts w:ascii="TimesNewRomanPS-BoldMT" w:hAnsi="TimesNewRomanPS-BoldMT"/>
          <w:bCs/>
          <w:color w:val="000000"/>
          <w:szCs w:val="28"/>
          <w:lang w:val="kk-KZ"/>
        </w:rPr>
        <w:t>олардың жүйелі қолданылуы қайта есептелген қаржылық есептілікке енгізілген бағалардың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352898">
        <w:rPr>
          <w:rFonts w:ascii="TimesNewRomanPS-BoldMT" w:hAnsi="TimesNewRomanPS-BoldMT"/>
          <w:bCs/>
          <w:color w:val="000000"/>
          <w:szCs w:val="28"/>
          <w:lang w:val="kk-KZ"/>
        </w:rPr>
        <w:t>дəлдігінен маңызды болып табылады.</w:t>
      </w:r>
    </w:p>
    <w:p w14:paraId="2A079075" w14:textId="77777777" w:rsidR="00CA371F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  <w:r w:rsidRPr="00352898">
        <w:rPr>
          <w:rFonts w:ascii="TimesNewRomanPS-BoldMT" w:hAnsi="TimesNewRomanPS-BoldMT"/>
          <w:bCs/>
          <w:color w:val="000000"/>
          <w:szCs w:val="28"/>
          <w:lang w:val="kk-KZ"/>
        </w:rPr>
        <w:t>Қаржылық жағдай турлы есеп көрсеткіштері есеп беріліп отырған мерзімдегі өлшем</w:t>
      </w:r>
      <w:r>
        <w:rPr>
          <w:rFonts w:ascii="TimesNewRomanPS-BoldMT" w:hAnsi="TimesNewRomanPS-BoldMT"/>
          <w:bCs/>
          <w:color w:val="000000"/>
          <w:szCs w:val="28"/>
          <w:lang w:val="kk-KZ"/>
        </w:rPr>
        <w:t xml:space="preserve"> </w:t>
      </w:r>
      <w:r w:rsidRPr="00352898">
        <w:rPr>
          <w:rFonts w:ascii="TimesNewRomanPS-BoldMT" w:hAnsi="TimesNewRomanPS-BoldMT"/>
          <w:bCs/>
          <w:color w:val="000000"/>
          <w:szCs w:val="28"/>
          <w:lang w:val="kk-KZ"/>
        </w:rPr>
        <w:t>бірлігінде əлі де көрсетілмеген болса, жалпы бағалар көрсеткіші негізінде түзетіледі.</w:t>
      </w:r>
    </w:p>
    <w:p w14:paraId="7F3D95B7" w14:textId="77777777" w:rsidR="00CA371F" w:rsidRPr="000B5B0D" w:rsidRDefault="00CA371F" w:rsidP="00CA371F">
      <w:pPr>
        <w:pStyle w:val="11"/>
        <w:ind w:firstLine="709"/>
        <w:jc w:val="both"/>
        <w:rPr>
          <w:rFonts w:ascii="TimesNewRomanPS-BoldMT" w:hAnsi="TimesNewRomanPS-BoldMT"/>
          <w:bCs/>
          <w:color w:val="000000"/>
          <w:szCs w:val="28"/>
          <w:lang w:val="kk-KZ"/>
        </w:rPr>
      </w:pPr>
    </w:p>
    <w:p w14:paraId="78A59D0A" w14:textId="77777777" w:rsidR="00CA371F" w:rsidRDefault="00CA371F" w:rsidP="00CA371F">
      <w:pPr>
        <w:pStyle w:val="11"/>
        <w:ind w:left="1219"/>
        <w:jc w:val="both"/>
        <w:rPr>
          <w:rFonts w:ascii="TimesNewRomanPS-BoldMT" w:hAnsi="TimesNewRomanPS-BoldMT"/>
          <w:b/>
          <w:bCs/>
          <w:color w:val="000000"/>
          <w:szCs w:val="28"/>
          <w:lang w:val="kk-KZ"/>
        </w:rPr>
      </w:pPr>
      <w:r w:rsidRPr="00035B70">
        <w:rPr>
          <w:rFonts w:ascii="TimesNewRomanPS-BoldMT" w:hAnsi="TimesNewRomanPS-BoldMT"/>
          <w:b/>
          <w:bCs/>
          <w:color w:val="000000"/>
          <w:szCs w:val="28"/>
          <w:lang w:val="kk-KZ"/>
        </w:rPr>
        <w:t>Бақылау сұрақтары</w:t>
      </w:r>
    </w:p>
    <w:p w14:paraId="048689BD" w14:textId="77777777" w:rsidR="00CA371F" w:rsidRPr="00E73AA0" w:rsidRDefault="00CA371F" w:rsidP="00CA371F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96046">
        <w:rPr>
          <w:rFonts w:ascii="TimesNewRomanPSMT" w:hAnsi="TimesNewRomanPSMT"/>
          <w:color w:val="000000"/>
          <w:szCs w:val="28"/>
          <w:lang w:val="kk-KZ"/>
        </w:rPr>
        <w:t>Гиперинфляция жағдайы</w:t>
      </w:r>
    </w:p>
    <w:p w14:paraId="385EC9F0" w14:textId="77777777" w:rsidR="00CA371F" w:rsidRPr="00E73AA0" w:rsidRDefault="00CA371F" w:rsidP="00CA371F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96046">
        <w:rPr>
          <w:rFonts w:ascii="TimesNewRomanPSMT" w:hAnsi="TimesNewRomanPSMT"/>
          <w:color w:val="000000"/>
          <w:szCs w:val="28"/>
          <w:lang w:val="kk-KZ"/>
        </w:rPr>
        <w:t>Қаржылық қызметтердің нəтижелері туралы есеп</w:t>
      </w:r>
    </w:p>
    <w:p w14:paraId="2775D175" w14:textId="77777777" w:rsidR="00CA371F" w:rsidRPr="00E73AA0" w:rsidRDefault="00CA371F" w:rsidP="00CA371F">
      <w:pPr>
        <w:pStyle w:val="11"/>
        <w:numPr>
          <w:ilvl w:val="0"/>
          <w:numId w:val="1"/>
        </w:numPr>
        <w:jc w:val="both"/>
        <w:rPr>
          <w:rFonts w:ascii="TimesNewRomanPSMT" w:hAnsi="TimesNewRomanPSMT"/>
          <w:color w:val="000000"/>
          <w:szCs w:val="28"/>
          <w:lang w:val="kk-KZ"/>
        </w:rPr>
      </w:pPr>
      <w:r w:rsidRPr="00F96046">
        <w:rPr>
          <w:rFonts w:ascii="TimesNewRomanPSMT" w:hAnsi="TimesNewRomanPSMT"/>
          <w:color w:val="000000"/>
          <w:szCs w:val="28"/>
          <w:lang w:val="kk-KZ"/>
        </w:rPr>
        <w:t>Таза ақшалай ұстанымның пайдасы мен тапшылықы</w:t>
      </w:r>
    </w:p>
    <w:p w14:paraId="6DF1441A" w14:textId="77777777" w:rsidR="00CA371F" w:rsidRPr="00AB7700" w:rsidRDefault="00CA371F" w:rsidP="00CA371F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Cs w:val="28"/>
          <w:lang w:val="kk-KZ"/>
        </w:rPr>
      </w:pPr>
      <w:r w:rsidRPr="00AB7700">
        <w:rPr>
          <w:rFonts w:ascii="TimesNewRomanPSMT" w:hAnsi="TimesNewRomanPSMT"/>
          <w:color w:val="000000"/>
          <w:szCs w:val="28"/>
          <w:lang w:val="kk-KZ"/>
        </w:rPr>
        <w:t>Ақшалай қаражат ағыны туралы есеп</w:t>
      </w:r>
    </w:p>
    <w:p w14:paraId="5BCE880A" w14:textId="77777777" w:rsidR="00CA371F" w:rsidRPr="00AB7700" w:rsidRDefault="00CA371F" w:rsidP="00CA371F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Cs w:val="28"/>
          <w:lang w:val="kk-KZ"/>
        </w:rPr>
      </w:pPr>
      <w:r w:rsidRPr="00AB7700">
        <w:rPr>
          <w:rFonts w:ascii="Times New Roman" w:hAnsi="Times New Roman"/>
          <w:szCs w:val="28"/>
          <w:lang w:val="kk-KZ"/>
        </w:rPr>
        <w:t>Хабарландырылатын көрсеткіштер</w:t>
      </w:r>
    </w:p>
    <w:p w14:paraId="1D45C55F" w14:textId="77777777" w:rsidR="00CA371F" w:rsidRPr="00AB7700" w:rsidRDefault="00CA371F" w:rsidP="00CA371F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Cs w:val="28"/>
          <w:lang w:val="kk-KZ"/>
        </w:rPr>
      </w:pPr>
      <w:r w:rsidRPr="00AB7700">
        <w:rPr>
          <w:rFonts w:ascii="Times New Roman" w:hAnsi="Times New Roman"/>
          <w:szCs w:val="28"/>
          <w:lang w:val="kk-KZ"/>
        </w:rPr>
        <w:t>Шоғырландырылған қаржылық есептілік</w:t>
      </w:r>
    </w:p>
    <w:p w14:paraId="18B189E8" w14:textId="77777777" w:rsidR="00CA371F" w:rsidRPr="00AB7700" w:rsidRDefault="00CA371F" w:rsidP="00CA371F">
      <w:pPr>
        <w:pStyle w:val="11"/>
        <w:numPr>
          <w:ilvl w:val="0"/>
          <w:numId w:val="1"/>
        </w:numPr>
        <w:jc w:val="both"/>
        <w:rPr>
          <w:rFonts w:ascii="Times New Roman" w:hAnsi="Times New Roman"/>
          <w:szCs w:val="28"/>
          <w:lang w:val="kk-KZ"/>
        </w:rPr>
      </w:pPr>
      <w:r w:rsidRPr="00AB7700">
        <w:rPr>
          <w:rFonts w:ascii="Times New Roman" w:hAnsi="Times New Roman"/>
          <w:szCs w:val="28"/>
          <w:lang w:val="kk-KZ"/>
        </w:rPr>
        <w:t>Құнның жалпы көрсеткіштерін таңдау жəне қолдану</w:t>
      </w:r>
    </w:p>
    <w:p w14:paraId="6FD78FEB" w14:textId="77777777" w:rsidR="00CB0C24" w:rsidRPr="00CA371F" w:rsidRDefault="00CB0C24">
      <w:pPr>
        <w:rPr>
          <w:lang w:val="kk-KZ"/>
        </w:rPr>
      </w:pPr>
    </w:p>
    <w:sectPr w:rsidR="00CB0C24" w:rsidRPr="00CA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21323"/>
    <w:multiLevelType w:val="hybridMultilevel"/>
    <w:tmpl w:val="B3401C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1354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63"/>
    <w:rsid w:val="003E4FE7"/>
    <w:rsid w:val="008E7D03"/>
    <w:rsid w:val="00AC066C"/>
    <w:rsid w:val="00B84863"/>
    <w:rsid w:val="00CA371F"/>
    <w:rsid w:val="00CB0C24"/>
    <w:rsid w:val="00D66FA9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C6FA"/>
  <w15:chartTrackingRefBased/>
  <w15:docId w15:val="{BD5EB656-221E-4BC3-B6E4-47F162E7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8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8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8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8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8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8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4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4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8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48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48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48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4863"/>
    <w:rPr>
      <w:b/>
      <w:bCs/>
      <w:smallCaps/>
      <w:color w:val="0F4761" w:themeColor="accent1" w:themeShade="BF"/>
      <w:spacing w:val="5"/>
    </w:rPr>
  </w:style>
  <w:style w:type="paragraph" w:customStyle="1" w:styleId="11">
    <w:name w:val="Без интервала1"/>
    <w:rsid w:val="00CA371F"/>
    <w:pPr>
      <w:spacing w:after="0" w:line="240" w:lineRule="auto"/>
    </w:pPr>
    <w:rPr>
      <w:rFonts w:ascii="Arial" w:eastAsia="Calibri" w:hAnsi="Arial" w:cs="Times New Roman"/>
      <w:kern w:val="0"/>
      <w:sz w:val="28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4</cp:revision>
  <dcterms:created xsi:type="dcterms:W3CDTF">2024-10-28T04:12:00Z</dcterms:created>
  <dcterms:modified xsi:type="dcterms:W3CDTF">2024-10-29T13:21:00Z</dcterms:modified>
</cp:coreProperties>
</file>