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E5F4A" w14:textId="67125FD7" w:rsidR="009B27B1" w:rsidRDefault="009B27B1" w:rsidP="009B27B1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Тақырып </w:t>
      </w:r>
      <w:r w:rsidR="003F387D">
        <w:rPr>
          <w:rFonts w:ascii="TimesNewRomanPS-BoldMT" w:hAnsi="TimesNewRomanPS-BoldMT"/>
          <w:b/>
          <w:bCs/>
          <w:color w:val="000000"/>
          <w:szCs w:val="28"/>
          <w:lang w:val="kk-KZ"/>
        </w:rPr>
        <w:t>10</w:t>
      </w: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. </w:t>
      </w:r>
      <w:r w:rsidRPr="001B572A">
        <w:rPr>
          <w:rFonts w:ascii="TimesNewRomanPSMT" w:hAnsi="TimesNewRomanPSMT"/>
          <w:color w:val="000000"/>
          <w:szCs w:val="28"/>
          <w:lang w:val="kk-KZ"/>
        </w:rPr>
        <w:t>Ақшалай қаражат қозғалысы туралы есептер</w:t>
      </w:r>
      <w:r>
        <w:rPr>
          <w:rFonts w:ascii="TimesNewRomanPSMT" w:hAnsi="TimesNewRomanPSMT"/>
          <w:color w:val="000000"/>
          <w:sz w:val="22"/>
          <w:szCs w:val="22"/>
          <w:lang w:val="kk-KZ"/>
        </w:rPr>
        <w:t>.</w:t>
      </w:r>
      <w:r w:rsidRPr="00867FD1">
        <w:rPr>
          <w:rFonts w:ascii="TimesNewRomanPSMT" w:hAnsi="TimesNewRomanPSMT"/>
          <w:color w:val="000000"/>
          <w:szCs w:val="28"/>
          <w:lang w:val="kk-KZ"/>
        </w:rPr>
        <w:t xml:space="preserve"> </w:t>
      </w:r>
    </w:p>
    <w:p w14:paraId="590A6376" w14:textId="77777777" w:rsidR="009B27B1" w:rsidRDefault="009B27B1" w:rsidP="009B27B1">
      <w:pPr>
        <w:pStyle w:val="11"/>
        <w:ind w:firstLine="709"/>
        <w:jc w:val="both"/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</w:pPr>
    </w:p>
    <w:p w14:paraId="7E968DF0" w14:textId="77777777" w:rsidR="009B27B1" w:rsidRDefault="009B27B1" w:rsidP="009B27B1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  <w:t xml:space="preserve">Дәрістің мақсаты: </w:t>
      </w:r>
      <w:r w:rsidRPr="001B572A">
        <w:rPr>
          <w:rFonts w:ascii="TimesNewRomanPSMT" w:hAnsi="TimesNewRomanPSMT"/>
          <w:color w:val="000000"/>
          <w:szCs w:val="28"/>
          <w:lang w:val="kk-KZ"/>
        </w:rPr>
        <w:t>Ақшалай қаражат қозғалысы туралы есеп</w:t>
      </w:r>
      <w:r>
        <w:rPr>
          <w:rFonts w:ascii="TimesNewRomanPSMT" w:hAnsi="TimesNewRomanPSMT"/>
          <w:color w:val="000000"/>
          <w:szCs w:val="28"/>
          <w:lang w:val="kk-KZ"/>
        </w:rPr>
        <w:t>ті дайындау</w:t>
      </w:r>
      <w:r w:rsidRPr="00B675CC">
        <w:rPr>
          <w:rFonts w:ascii="TimesNewRomanPSMT" w:hAnsi="TimesNewRomanPSMT"/>
          <w:color w:val="000000"/>
          <w:szCs w:val="28"/>
          <w:lang w:val="kk-KZ"/>
        </w:rPr>
        <w:t xml:space="preserve"> </w:t>
      </w:r>
      <w:r>
        <w:rPr>
          <w:rFonts w:ascii="TimesNewRomanPSMT" w:hAnsi="TimesNewRomanPSMT"/>
          <w:color w:val="000000"/>
          <w:szCs w:val="28"/>
          <w:lang w:val="kk-KZ"/>
        </w:rPr>
        <w:t>жайлы түсінік беру</w:t>
      </w:r>
    </w:p>
    <w:p w14:paraId="70D03BDA" w14:textId="77777777" w:rsidR="009B27B1" w:rsidRDefault="009B27B1" w:rsidP="009B27B1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7F950A36" w14:textId="77777777" w:rsidR="009B27B1" w:rsidRDefault="009B27B1" w:rsidP="009B27B1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>Дәріс сабағының жоспары</w:t>
      </w:r>
    </w:p>
    <w:p w14:paraId="13B5A8BD" w14:textId="77777777" w:rsidR="009B27B1" w:rsidRPr="0014336B" w:rsidRDefault="009B27B1" w:rsidP="009B27B1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>1.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150B1D">
        <w:rPr>
          <w:rFonts w:ascii="TimesNewRomanPS-BoldMT" w:hAnsi="TimesNewRomanPS-BoldMT"/>
          <w:bCs/>
          <w:color w:val="000000"/>
          <w:szCs w:val="28"/>
          <w:lang w:val="kk-KZ"/>
        </w:rPr>
        <w:t>Ақшалай қаражат қозғалысы туралы ақпараттың тиімділігі</w:t>
      </w:r>
    </w:p>
    <w:p w14:paraId="3B171C86" w14:textId="77777777" w:rsidR="009B27B1" w:rsidRDefault="009B27B1" w:rsidP="009B27B1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2. </w:t>
      </w:r>
      <w:r w:rsidRPr="00150B1D">
        <w:rPr>
          <w:rFonts w:ascii="TimesNewRomanPS-BoldMT" w:hAnsi="TimesNewRomanPS-BoldMT"/>
          <w:bCs/>
          <w:color w:val="000000"/>
          <w:szCs w:val="28"/>
          <w:lang w:val="kk-KZ"/>
        </w:rPr>
        <w:t>Ақшалай қаражат жəне ақшалай қаражаттың баламалары</w:t>
      </w:r>
    </w:p>
    <w:p w14:paraId="00AE0D8F" w14:textId="77777777" w:rsidR="009B27B1" w:rsidRDefault="009B27B1" w:rsidP="009B27B1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3. </w:t>
      </w:r>
      <w:r w:rsidRPr="00150B1D">
        <w:rPr>
          <w:rFonts w:ascii="TimesNewRomanPS-BoldMT" w:hAnsi="TimesNewRomanPS-BoldMT"/>
          <w:bCs/>
          <w:color w:val="000000"/>
          <w:szCs w:val="28"/>
          <w:lang w:val="kk-KZ"/>
        </w:rPr>
        <w:t>Ақшалай қаражат қозғалысы туралы есептілікті ұсыну</w:t>
      </w:r>
    </w:p>
    <w:p w14:paraId="304AE85D" w14:textId="77777777" w:rsidR="009B27B1" w:rsidRDefault="009B27B1" w:rsidP="009B27B1">
      <w:pPr>
        <w:pStyle w:val="11"/>
        <w:ind w:left="121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</w:p>
    <w:p w14:paraId="44C10137" w14:textId="77777777" w:rsidR="009B27B1" w:rsidRDefault="009B27B1" w:rsidP="009B27B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BC5376">
        <w:rPr>
          <w:rFonts w:ascii="Times New Roman" w:hAnsi="Times New Roman"/>
          <w:szCs w:val="28"/>
          <w:lang w:val="kk-KZ"/>
        </w:rPr>
        <w:t>Ақша қозғалысы туралы есепте</w:t>
      </w:r>
      <w:r>
        <w:rPr>
          <w:rFonts w:ascii="Times New Roman" w:hAnsi="Times New Roman"/>
          <w:szCs w:val="28"/>
          <w:lang w:val="kk-KZ"/>
        </w:rPr>
        <w:t>:</w:t>
      </w:r>
    </w:p>
    <w:p w14:paraId="3B58809F" w14:textId="77777777" w:rsidR="009B27B1" w:rsidRDefault="009B27B1" w:rsidP="009B27B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BC5376">
        <w:rPr>
          <w:rFonts w:ascii="Times New Roman" w:hAnsi="Times New Roman"/>
          <w:szCs w:val="28"/>
          <w:lang w:val="kk-KZ"/>
        </w:rPr>
        <w:t>a) ақшалай қара</w:t>
      </w:r>
      <w:r>
        <w:rPr>
          <w:rFonts w:ascii="Times New Roman" w:hAnsi="Times New Roman"/>
          <w:szCs w:val="28"/>
          <w:lang w:val="kk-KZ"/>
        </w:rPr>
        <w:t>жат түсімінің көздері;</w:t>
      </w:r>
    </w:p>
    <w:p w14:paraId="4D4B29A1" w14:textId="77777777" w:rsidR="009B27B1" w:rsidRDefault="009B27B1" w:rsidP="009B27B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BC5376">
        <w:rPr>
          <w:rFonts w:ascii="Times New Roman" w:hAnsi="Times New Roman"/>
          <w:szCs w:val="28"/>
          <w:lang w:val="kk-KZ"/>
        </w:rPr>
        <w:t>b) есептік мерзім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ішіндегі олардың жұмсалған баптары</w:t>
      </w:r>
      <w:r>
        <w:rPr>
          <w:rFonts w:ascii="Times New Roman" w:hAnsi="Times New Roman"/>
          <w:szCs w:val="28"/>
          <w:lang w:val="kk-KZ"/>
        </w:rPr>
        <w:t>;</w:t>
      </w:r>
    </w:p>
    <w:p w14:paraId="5788E578" w14:textId="77777777" w:rsidR="009B27B1" w:rsidRPr="00BC5376" w:rsidRDefault="009B27B1" w:rsidP="009B27B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BC5376">
        <w:rPr>
          <w:rFonts w:ascii="Times New Roman" w:hAnsi="Times New Roman"/>
          <w:szCs w:val="28"/>
          <w:lang w:val="kk-KZ"/>
        </w:rPr>
        <w:t>c) есептік күнге ақшалай қаражат айырмасы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көрсетіледі. Субъектінің ақшалай қаражат қозғалысы туралы ақпараттың пайдасы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қаржылық есептілікті пайдаланушыларға есептілік мақсатында да, сондай-ақ шешім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қабылдау мақсатында да мәлімет беретіндігінде. Ақшалай қаражат ағыны туралы ақпарат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пайдаланушылардың қоғамдық сектор субъектісі өз қызметін қаржыландыруға қажетті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ақшалай қаражат құралын қалай қалыптастырғандығын және де осы қаражатты қалай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жұмсағанын анықтауына мүмкіндік береді. Қорларды орналастыру туралы шешім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қабылдай отырып және осы шешімді субъекті қызметінің тұрақтылығы тұрғысынан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бағалай отырып, пайдаланушылар ақшалай қаражат ағыны қаншалықты уақытылы және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сенімді екендігін білуі тиіс. Берілген Стандарттың мақсаты міндетті түрде – есептік мерзім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ішіндегі операциялық, инвестициялық және қаржылық қызметтен түсетін ақшалай қаражат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сыныптамасы берілген, субъектінің ақшалай қаражаты мен ақшалай қаражат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баламасындағы ретроспективті өзгерістері туралы ақпаратты беру болып табылады.</w:t>
      </w:r>
    </w:p>
    <w:p w14:paraId="39D82095" w14:textId="77777777" w:rsidR="009B27B1" w:rsidRPr="00BC5376" w:rsidRDefault="009B27B1" w:rsidP="009B27B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BC5376">
        <w:rPr>
          <w:rFonts w:ascii="Times New Roman" w:hAnsi="Times New Roman"/>
          <w:szCs w:val="28"/>
          <w:lang w:val="kk-KZ"/>
        </w:rPr>
        <w:t>Қолдану аясы. Қаржылық есептілікті есептеу әдісін қолданып ұсынатын субъект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берілген Стандарттың талаптарына сәйкес ақшалай қаражат қозғалысы туралы есеп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жасауға міндетті және оны қаржылық есептілік ұсынылған әрбір мерзімдегі қаржылық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есептілігінің құрамдас бөлігі ретінде ұсынуы тиіс.</w:t>
      </w:r>
    </w:p>
    <w:p w14:paraId="3366D4DD" w14:textId="77777777" w:rsidR="009B27B1" w:rsidRPr="00BC5376" w:rsidRDefault="009B27B1" w:rsidP="009B27B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BC5376">
        <w:rPr>
          <w:rFonts w:ascii="Times New Roman" w:hAnsi="Times New Roman"/>
          <w:szCs w:val="28"/>
          <w:lang w:val="kk-KZ"/>
        </w:rPr>
        <w:t>Ақшалай қаражат қозғалысы туралы есеп қаржылық есептілікті пайдаланушылар үшін</w:t>
      </w:r>
      <w:r>
        <w:rPr>
          <w:rFonts w:ascii="Times New Roman" w:hAnsi="Times New Roman"/>
          <w:szCs w:val="28"/>
          <w:lang w:val="kk-KZ"/>
        </w:rPr>
        <w:t>:</w:t>
      </w:r>
    </w:p>
    <w:p w14:paraId="0B00E8DF" w14:textId="77777777" w:rsidR="009B27B1" w:rsidRDefault="009B27B1" w:rsidP="009B27B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BC5376">
        <w:rPr>
          <w:rFonts w:ascii="Times New Roman" w:hAnsi="Times New Roman"/>
          <w:szCs w:val="28"/>
          <w:lang w:val="kk-KZ"/>
        </w:rPr>
        <w:t>a) субъектінің ақшалай қаражат ағынын бағалау барысында</w:t>
      </w:r>
      <w:r>
        <w:rPr>
          <w:rFonts w:ascii="Times New Roman" w:hAnsi="Times New Roman"/>
          <w:szCs w:val="28"/>
          <w:lang w:val="kk-KZ"/>
        </w:rPr>
        <w:t>;</w:t>
      </w:r>
    </w:p>
    <w:p w14:paraId="3CF26A89" w14:textId="77777777" w:rsidR="009B27B1" w:rsidRPr="00BC5376" w:rsidRDefault="009B27B1" w:rsidP="009B27B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BC5376">
        <w:rPr>
          <w:rFonts w:ascii="Times New Roman" w:hAnsi="Times New Roman"/>
          <w:szCs w:val="28"/>
          <w:lang w:val="kk-KZ"/>
        </w:rPr>
        <w:t>b) субъектінің заңдар мен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заңдық актілерді (қажет жағдайда бекітілген бюджетті қоса</w:t>
      </w:r>
      <w:r>
        <w:rPr>
          <w:rFonts w:ascii="Times New Roman" w:hAnsi="Times New Roman"/>
          <w:szCs w:val="28"/>
          <w:lang w:val="kk-KZ"/>
        </w:rPr>
        <w:t xml:space="preserve"> алғанда) орындау барысында;</w:t>
      </w:r>
    </w:p>
    <w:p w14:paraId="3AEDD419" w14:textId="77777777" w:rsidR="009B27B1" w:rsidRPr="00BC5376" w:rsidRDefault="009B27B1" w:rsidP="009B27B1">
      <w:pPr>
        <w:pStyle w:val="11"/>
        <w:widowControl w:val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BC5376">
        <w:rPr>
          <w:rFonts w:ascii="Times New Roman" w:hAnsi="Times New Roman"/>
          <w:szCs w:val="28"/>
          <w:lang w:val="kk-KZ"/>
        </w:rPr>
        <w:t>(c) субъектіге қорларды беру немесе онымен мәміле жасау туралы шешім қабылдау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барысында пайдалы болуы мүмкін. Пайдаланушылар әдетте субъектінің ақшалай қаражат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пен оның баламасын қалай қалыптастыратыны мен оны қалай жұмсайтыны туралы білгісі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келеді. Айта кететін жайт, қоғамдық қаржы мекемесіндегідей, бұл субъекті қызметінің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сипаттамасына және ақшалай қаражат субъекті қызметінің өнімі ретінде қаралатындығына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 xml:space="preserve">байланысты емес. Субъектілердің негізгі кірісін қамтамасыз ететін басты </w:t>
      </w:r>
      <w:r w:rsidRPr="00BC5376">
        <w:rPr>
          <w:rFonts w:ascii="Times New Roman" w:hAnsi="Times New Roman"/>
          <w:szCs w:val="28"/>
          <w:lang w:val="kk-KZ"/>
        </w:rPr>
        <w:lastRenderedPageBreak/>
        <w:t>қызметі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қаншалықты өзгеше болғанымен, шын мәнінде олардың барлығы ақшалай қаражатты бір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мақсатта қажет етеді. Ақшалай қаражат олардың тұтынатын тауары мен қызметтерінің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төлеміне, қарыз өтемінің шығынын жабуға, ал кейбір жағдайларда негізгі берешектің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сомасын азайтуға қажет. Осыған сәйкес, осы Стандарт барлық субъектілердің ақшалай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қаражат қозғалысы туралы есеп беруін талап етеді.</w:t>
      </w:r>
    </w:p>
    <w:p w14:paraId="50EEA41D" w14:textId="77777777" w:rsidR="009B27B1" w:rsidRDefault="009B27B1" w:rsidP="009B27B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BC5376">
        <w:rPr>
          <w:rFonts w:ascii="Times New Roman" w:hAnsi="Times New Roman"/>
          <w:szCs w:val="28"/>
          <w:lang w:val="kk-KZ"/>
        </w:rPr>
        <w:t>Ақшалай қаражат қозғалысы туралы ақпараттың тиімділігі. Субъектінің ақшалай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қаражат құралының қозғалысы туралы ақпарат пайдаланушыларға</w:t>
      </w:r>
      <w:r>
        <w:rPr>
          <w:rFonts w:ascii="Times New Roman" w:hAnsi="Times New Roman"/>
          <w:szCs w:val="28"/>
          <w:lang w:val="kk-KZ"/>
        </w:rPr>
        <w:t>:</w:t>
      </w:r>
    </w:p>
    <w:p w14:paraId="6E1ACEFD" w14:textId="77777777" w:rsidR="009B27B1" w:rsidRDefault="009B27B1" w:rsidP="009B27B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BC5376">
        <w:rPr>
          <w:rFonts w:ascii="Times New Roman" w:hAnsi="Times New Roman"/>
          <w:szCs w:val="28"/>
          <w:lang w:val="kk-KZ"/>
        </w:rPr>
        <w:t>а) субъектінің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келешектегі ақшалай қаражат құралы қажеттілігін</w:t>
      </w:r>
      <w:r>
        <w:rPr>
          <w:rFonts w:ascii="Times New Roman" w:hAnsi="Times New Roman"/>
          <w:szCs w:val="28"/>
          <w:lang w:val="kk-KZ"/>
        </w:rPr>
        <w:t>;</w:t>
      </w:r>
    </w:p>
    <w:p w14:paraId="1583B3AD" w14:textId="77777777" w:rsidR="009B27B1" w:rsidRDefault="009B27B1" w:rsidP="009B27B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BC5376">
        <w:rPr>
          <w:rFonts w:ascii="Times New Roman" w:hAnsi="Times New Roman"/>
          <w:szCs w:val="28"/>
          <w:lang w:val="kk-KZ"/>
        </w:rPr>
        <w:t>b) оның келешекте ақша қалыптастыру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мүмкіндігін</w:t>
      </w:r>
      <w:r>
        <w:rPr>
          <w:rFonts w:ascii="Times New Roman" w:hAnsi="Times New Roman"/>
          <w:szCs w:val="28"/>
          <w:lang w:val="kk-KZ"/>
        </w:rPr>
        <w:t>;</w:t>
      </w:r>
      <w:r w:rsidRPr="00BC5376">
        <w:rPr>
          <w:rFonts w:ascii="Times New Roman" w:hAnsi="Times New Roman"/>
          <w:szCs w:val="28"/>
          <w:lang w:val="kk-KZ"/>
        </w:rPr>
        <w:t xml:space="preserve"> </w:t>
      </w:r>
    </w:p>
    <w:p w14:paraId="7890BFBF" w14:textId="77777777" w:rsidR="009B27B1" w:rsidRPr="00BC5376" w:rsidRDefault="009B27B1" w:rsidP="009B27B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BC5376">
        <w:rPr>
          <w:rFonts w:ascii="Times New Roman" w:hAnsi="Times New Roman"/>
          <w:szCs w:val="28"/>
          <w:lang w:val="kk-KZ"/>
        </w:rPr>
        <w:t>с) оның қызметі көлемі мен сипаттамасындағы өзгерістерді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қаржыландыру мүмкіндігін алдын-ала болжауға көмектеседі. Сонымен қатар, ақшалай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қаражат құралының қозғалысы туралы есеп, субъект үшін ақшалай қаражат түсімі мен оны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есептік мерзім ішінде жұмсау бойынша есептіліктің құралы болып табылады. Ақшалай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қаражат құралының қозғалысы туралы есеп, оны басқа да қаржылық есептілік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формаларымен қатар қолданғанда пайдаланушыларға субъектінің таза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активтеріндегі/капиталындағы өзгерістерді, оның қаржылық жағдайын (өтемділік пен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төлем қабілеттілігін қоса алғанда) және құбылмалы жағдайлар мен өзгерістерге бейімделу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мақсатында төлемдердің сомасы мен мерзіміне және ақшалай қаржы түсіміне ықпал ету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мүмкіндігін бағалауға мүмкіндік береді. Бірдей операциялар мен басқа да оқиғаларды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есепке алу үшін түрлі әдістер қолдану ықпалы жойылатындықтан, ақпарат, түрлі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субъектілердің операциялық қызмет нәтижелерін салыстыруға да мүмкіндік береді.</w:t>
      </w:r>
    </w:p>
    <w:p w14:paraId="641902A9" w14:textId="77777777" w:rsidR="009B27B1" w:rsidRPr="00BC5376" w:rsidRDefault="009B27B1" w:rsidP="009B27B1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BC5376">
        <w:rPr>
          <w:rFonts w:ascii="Times New Roman" w:hAnsi="Times New Roman"/>
          <w:szCs w:val="28"/>
          <w:lang w:val="kk-KZ"/>
        </w:rPr>
        <w:t>Ақшалай қаражат құралының қозғалысы туралы ретроспективті ақпарат келешектегі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ақшалай қаражат құралы ағыны шамасының, уақыттылығының және анықтылығының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көрсеткіші (индикаторы) ретінде жиі қолданылады. Ол, сондай-ақ бұрынырақ жасалған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BC5376">
        <w:rPr>
          <w:rFonts w:ascii="Times New Roman" w:hAnsi="Times New Roman"/>
          <w:szCs w:val="28"/>
          <w:lang w:val="kk-KZ"/>
        </w:rPr>
        <w:t>ақшалай қаражат ағынының туралығын тексеру барысында да пайдалы.</w:t>
      </w:r>
    </w:p>
    <w:p w14:paraId="2E880C66" w14:textId="77777777" w:rsidR="009B27B1" w:rsidRDefault="009B27B1" w:rsidP="009B27B1">
      <w:pPr>
        <w:pStyle w:val="11"/>
        <w:ind w:left="1219"/>
        <w:jc w:val="both"/>
        <w:rPr>
          <w:rFonts w:ascii="Times New Roman" w:hAnsi="Times New Roman"/>
          <w:b/>
          <w:sz w:val="24"/>
          <w:lang w:val="kk-KZ"/>
        </w:rPr>
      </w:pPr>
    </w:p>
    <w:p w14:paraId="34507A53" w14:textId="77777777" w:rsidR="009B27B1" w:rsidRDefault="009B27B1" w:rsidP="009B27B1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035B70">
        <w:rPr>
          <w:rFonts w:ascii="TimesNewRomanPS-BoldMT" w:hAnsi="TimesNewRomanPS-BoldMT"/>
          <w:b/>
          <w:bCs/>
          <w:color w:val="000000"/>
          <w:szCs w:val="28"/>
          <w:lang w:val="kk-KZ"/>
        </w:rPr>
        <w:t>Бақылау сұрақтары</w:t>
      </w:r>
    </w:p>
    <w:p w14:paraId="0E7190C1" w14:textId="77777777" w:rsidR="009B27B1" w:rsidRPr="00150B1D" w:rsidRDefault="009B27B1" w:rsidP="009B27B1">
      <w:pPr>
        <w:pStyle w:val="1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150B1D">
        <w:rPr>
          <w:rFonts w:ascii="TimesNewRomanPSMT" w:hAnsi="TimesNewRomanPSMT"/>
          <w:color w:val="000000"/>
          <w:szCs w:val="28"/>
          <w:lang w:val="kk-KZ"/>
        </w:rPr>
        <w:t>Операциялық қызметтен болатын ақшалай қаражат қозғалысы туралы мəліметтерді ұсыну</w:t>
      </w:r>
    </w:p>
    <w:p w14:paraId="35CB0458" w14:textId="77777777" w:rsidR="009B27B1" w:rsidRDefault="009B27B1" w:rsidP="009B27B1">
      <w:pPr>
        <w:pStyle w:val="1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150B1D">
        <w:rPr>
          <w:rFonts w:ascii="TimesNewRomanPSMT" w:hAnsi="TimesNewRomanPSMT"/>
          <w:color w:val="000000"/>
          <w:szCs w:val="28"/>
          <w:lang w:val="kk-KZ"/>
        </w:rPr>
        <w:t>Инвестициялық қызметтен болатын ақшалай қаражат қозғалысы туралы мəліметтерді ұсыну</w:t>
      </w:r>
    </w:p>
    <w:p w14:paraId="487281B4" w14:textId="77777777" w:rsidR="009B27B1" w:rsidRPr="00150B1D" w:rsidRDefault="009B27B1" w:rsidP="009B27B1">
      <w:pPr>
        <w:pStyle w:val="1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>
        <w:rPr>
          <w:rFonts w:ascii="TimesNewRomanPSMT" w:hAnsi="TimesNewRomanPSMT"/>
          <w:color w:val="000000"/>
          <w:szCs w:val="28"/>
          <w:lang w:val="kk-KZ"/>
        </w:rPr>
        <w:t>Қаржы</w:t>
      </w:r>
      <w:r w:rsidRPr="00150B1D">
        <w:rPr>
          <w:rFonts w:ascii="TimesNewRomanPSMT" w:hAnsi="TimesNewRomanPSMT"/>
          <w:color w:val="000000"/>
          <w:szCs w:val="28"/>
          <w:lang w:val="kk-KZ"/>
        </w:rPr>
        <w:t>лық қызметтен болатын ақшалай қаражат қозғалысы туралы мəліметтерді ұсыну</w:t>
      </w:r>
    </w:p>
    <w:p w14:paraId="6BE6B925" w14:textId="77777777" w:rsidR="009B27B1" w:rsidRPr="00150B1D" w:rsidRDefault="009B27B1" w:rsidP="009B27B1">
      <w:pPr>
        <w:pStyle w:val="1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150B1D">
        <w:rPr>
          <w:rFonts w:ascii="TimesNewRomanPSMT" w:hAnsi="TimesNewRomanPSMT"/>
          <w:color w:val="000000"/>
          <w:szCs w:val="28"/>
          <w:lang w:val="kk-KZ"/>
        </w:rPr>
        <w:t>Нетто-негіздегі ақшалай қаражат қозғалысы туралы мəліметтерді ұсыну</w:t>
      </w:r>
    </w:p>
    <w:p w14:paraId="0D59A9B8" w14:textId="77777777" w:rsidR="009B27B1" w:rsidRPr="00150B1D" w:rsidRDefault="009B27B1" w:rsidP="009B27B1">
      <w:pPr>
        <w:pStyle w:val="1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lang w:val="kk-KZ"/>
        </w:rPr>
      </w:pPr>
      <w:r w:rsidRPr="00150B1D">
        <w:rPr>
          <w:rFonts w:ascii="TimesNewRomanPSMT" w:hAnsi="TimesNewRomanPSMT"/>
          <w:color w:val="000000"/>
          <w:szCs w:val="28"/>
          <w:lang w:val="kk-KZ"/>
        </w:rPr>
        <w:t>Шетел валютасындағы ақшалай қаражат қозғалысы</w:t>
      </w:r>
    </w:p>
    <w:p w14:paraId="6DAC3F5B" w14:textId="77777777" w:rsidR="00CB0C24" w:rsidRDefault="00CB0C24"/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16857"/>
    <w:multiLevelType w:val="hybridMultilevel"/>
    <w:tmpl w:val="2DE28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1641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D2"/>
    <w:rsid w:val="00072FD2"/>
    <w:rsid w:val="003402CD"/>
    <w:rsid w:val="003E4FE7"/>
    <w:rsid w:val="003F387D"/>
    <w:rsid w:val="008E7D03"/>
    <w:rsid w:val="009B27B1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1835"/>
  <w15:chartTrackingRefBased/>
  <w15:docId w15:val="{76589D5B-7BD7-4ECF-BE9E-CD247320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F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F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F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F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F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F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2F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2F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2F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2F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2FD2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интервала1"/>
    <w:rsid w:val="009B27B1"/>
    <w:pPr>
      <w:spacing w:after="0" w:line="240" w:lineRule="auto"/>
    </w:pPr>
    <w:rPr>
      <w:rFonts w:ascii="Arial" w:eastAsia="Calibri" w:hAnsi="Arial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4</cp:revision>
  <dcterms:created xsi:type="dcterms:W3CDTF">2024-10-28T04:11:00Z</dcterms:created>
  <dcterms:modified xsi:type="dcterms:W3CDTF">2024-10-29T13:12:00Z</dcterms:modified>
</cp:coreProperties>
</file>