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D8B7" w14:textId="06459985" w:rsidR="005E1145" w:rsidRDefault="005E1145" w:rsidP="005E1145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 w:rsidR="00885408">
        <w:rPr>
          <w:rFonts w:ascii="TimesNewRomanPS-BoldMT" w:hAnsi="TimesNewRomanPS-BoldMT"/>
          <w:b/>
          <w:bCs/>
          <w:color w:val="000000"/>
          <w:szCs w:val="28"/>
          <w:lang w:val="kk-KZ"/>
        </w:rPr>
        <w:t>9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B675CC">
        <w:rPr>
          <w:rFonts w:ascii="TimesNewRomanPSMT" w:hAnsi="TimesNewRomanPSMT"/>
          <w:color w:val="000000"/>
          <w:szCs w:val="28"/>
          <w:lang w:val="kk-KZ"/>
        </w:rPr>
        <w:t>Шоғырландырылған жəне жеке қаржылық есептілік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6289E37B" w14:textId="77777777" w:rsidR="005E1145" w:rsidRDefault="005E1145" w:rsidP="005E1145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5EE8E163" w14:textId="77777777" w:rsidR="005E1145" w:rsidRDefault="005E1145" w:rsidP="005E1145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B675CC">
        <w:rPr>
          <w:rFonts w:ascii="TimesNewRomanPSMT" w:hAnsi="TimesNewRomanPSMT"/>
          <w:color w:val="000000"/>
          <w:szCs w:val="28"/>
          <w:lang w:val="kk-KZ"/>
        </w:rPr>
        <w:t>Шоғырландырылған жəне жеке қаржылық есептілік</w:t>
      </w:r>
      <w:r>
        <w:rPr>
          <w:rFonts w:ascii="TimesNewRomanPSMT" w:hAnsi="TimesNewRomanPSMT"/>
          <w:color w:val="000000"/>
          <w:szCs w:val="28"/>
          <w:lang w:val="kk-KZ"/>
        </w:rPr>
        <w:t>терді жасау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271B8EE6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6745D1AA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7C8944DD" w14:textId="77777777" w:rsidR="005E1145" w:rsidRPr="0014336B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құрастыру мақсатындағы бақылау</w:t>
      </w:r>
    </w:p>
    <w:p w14:paraId="3923D7E2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Шоғырландырылған қаржылық есептілікті ұсыну</w:t>
      </w:r>
    </w:p>
    <w:p w14:paraId="2F1DCDD9" w14:textId="77777777" w:rsidR="005E1145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Шоғырландыру рəсімдері</w:t>
      </w:r>
    </w:p>
    <w:p w14:paraId="256EC205" w14:textId="77777777" w:rsidR="005E1145" w:rsidRPr="00B675CC" w:rsidRDefault="005E1145" w:rsidP="005E1145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Жеке қаржылық есептілікте еншілес, бірлесіп бақыланатын жəне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B675CC">
        <w:rPr>
          <w:rFonts w:ascii="TimesNewRomanPS-BoldMT" w:hAnsi="TimesNewRomanPS-BoldMT"/>
          <w:bCs/>
          <w:color w:val="000000"/>
          <w:szCs w:val="28"/>
          <w:lang w:val="kk-KZ"/>
        </w:rPr>
        <w:t>қауымдасқан ұйымдарға инвестицияларды есепке алу</w:t>
      </w:r>
    </w:p>
    <w:p w14:paraId="2515F889" w14:textId="77777777" w:rsidR="005E1145" w:rsidRDefault="005E1145" w:rsidP="005E1145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56EC548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Есептеу әдісі бойынша қаржылық есептілікті әзірлеп, ұсынатын субъект, осы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Стандартты шоғырландырылған қаржылық есептілікті әзірлеп, ұсынуда қолдануы тиіс.</w:t>
      </w:r>
    </w:p>
    <w:p w14:paraId="4373475C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 субъектінің бірлестіктеріндегі есептеу әдісіне және субъектілердің бірігуі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барысындағы туындайтын гудвилл есебін қоса алғанда, олардың шоғырландыруға болатын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ықпалына қатысты емес (субъектілер бірлестігіндегі есептеу бойынша нұсқауды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кәсіпорындардың бірігуіне арналған, қаржылық есептіліктің тиісті халықаралық немесе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ұлттық стандартынан табуға болады).</w:t>
      </w:r>
    </w:p>
    <w:p w14:paraId="3885747B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Стандартты, сондай-ақ, бақылаудағы субъектілерді, бірлескен бақылаудағы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субъектілерді және қауымдасқан субъектілерді ескеру барысында, субъект жергілікті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нормативтік талаптарға сәйкес жеке қаржылық есептілікті ұсыну мүмкін немесе қажет деп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тапқан жағдайларда қолдану қажет. Осы Стандарт мемлекеттік коммерциялық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кәсіпорындардан басқа, қоғамдық сектордың барлық субъектілеріне қолданылады.</w:t>
      </w:r>
    </w:p>
    <w:p w14:paraId="72D26746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ҚС ХҚЕС К жариялаған «Қоғамдық сектор үшін қаржылық есептіліктің халықаралық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стандарттарына алғы сөзде» мемлекеттік коммерциялық кәсіпорындар (МКК) ҚЕХСК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әзірлеген ҚЕХС ұстанатындығы түсіндірілген. МКК анықтама «Қаржылық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ұсыну» 1 ҚС ХҚЕС берілген.</w:t>
      </w:r>
    </w:p>
    <w:p w14:paraId="0CD0EB68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 шоғырландырылған қаржылық есептілікті дайындау мен ұсынуға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қойылатын және бақылаудағы субъектілерді, бірлесіп бақыланатын субъектіге қатысушы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және инвестор, бақылаушы субъектінің жеке қаржылық есептілігінде бірлескен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бақылаудағы субъектілерді және қауымдасқан субъектілерді ескеру талаптарын бекітеді.</w:t>
      </w:r>
    </w:p>
    <w:p w14:paraId="45E3BBBD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МКК өзінің қаржылық есептілігінде осы Стандартты ұстануға міндетті еместігіне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қарамастан, егер МКК болып табылмайтын қоғамдық сектор субъектісінің бір немесе одан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көп МКК болып табылатын бақылаудағы субъектілері, бірлесіп бақылаудағы субъектілері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және қауымдасқан субъектілері болған жағдайда, осы Стандарттың ережелері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қолданылымды болып келеді. Бұл жағдайда, осы Стандартты МКК экономикалық бірліктің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шоғырландырылған қаржылық есептілігіне енгізу үшін және МКК жасалған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 xml:space="preserve">инвестицияларды ескеру үшін, бірлесіп бақыланатын субъектіге қатысушы </w:t>
      </w:r>
      <w:r w:rsidRPr="00142EFC">
        <w:rPr>
          <w:rFonts w:ascii="Times New Roman" w:hAnsi="Times New Roman"/>
          <w:szCs w:val="28"/>
          <w:lang w:val="kk-KZ"/>
        </w:rPr>
        <w:lastRenderedPageBreak/>
        <w:t>және инвестор,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бақылаушы субъектінің жеке қаржылық есептілігінде қолдану қажет.</w:t>
      </w:r>
    </w:p>
    <w:p w14:paraId="4CA61C06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Осы Стандартта келесі терминдер төмендегідей мағынада қолданылады:</w:t>
      </w:r>
    </w:p>
    <w:p w14:paraId="1B8DEE4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Шоғырландырылған қаржылық есептілік - бір субъекті дайындағандай етіп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ұсынылған экономикалық бірліктің қаржылық есептілігі.</w:t>
      </w:r>
    </w:p>
    <w:p w14:paraId="2EFA899C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Бақылаудағы субъект – басқа субъектінің бақылауындағы (бақылаушы субъект ретінде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танымал) серіктестік секілді бейкорпоративтік субъектіден тұратын субъект.</w:t>
      </w:r>
    </w:p>
    <w:p w14:paraId="5C7DF685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Бақылаушы субъект – бір немесе бірнеше бақылаудағы субъектілері бар субъект.</w:t>
      </w:r>
    </w:p>
    <w:p w14:paraId="676725C7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Өзіндік құн бойынша есептеу әдісі - Инвестиция өзіндік құны бойынша мойындалатын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инвестицияны есептеу әдісі. Инвестор пайданы, инвестициядан түсетін пайданы 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күнінен кейін болатын, инвестиция нысанасының жинақталған пайдасынан үлестірім алуға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құқығы бар деңгейде мойындайды. Осы пайдадан артық төленген немесе төлеуге жататын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үлестірілімдер инвестицияның орнын толтыру ретінде қарастырылады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инвестицияның өзіндік құнының азаюы ретінде мойындалады.</w:t>
      </w:r>
    </w:p>
    <w:p w14:paraId="7B213ED9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Азшылықтың үлесі - бақылаудағы субъектінің пайдасының/тапшылықының және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активтерінің/капиталының бақылаушы субъект тікелей иеленбейтін немесе бақылаудағы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субъектілер арқылы жанама иеленетін бөлігі болып табылады.</w:t>
      </w:r>
    </w:p>
    <w:p w14:paraId="4574F8D4" w14:textId="77777777" w:rsidR="005E1145" w:rsidRPr="00142EFC" w:rsidRDefault="005E1145" w:rsidP="005E1145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42EFC">
        <w:rPr>
          <w:rFonts w:ascii="Times New Roman" w:hAnsi="Times New Roman"/>
          <w:szCs w:val="28"/>
          <w:lang w:val="kk-KZ"/>
        </w:rPr>
        <w:t>Жеке қаржылық есептілік - инвестициялар инвестиция нысанасының ұсынылған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нәтижелері мен таза активтерінің негізінде емес, таза активтердегі/капиталдағы тікелей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үлес негізінде ескерілген, қауымдасқан субъектіге инвестор немесе бірлескен бақылауға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42EFC">
        <w:rPr>
          <w:rFonts w:ascii="Times New Roman" w:hAnsi="Times New Roman"/>
          <w:szCs w:val="28"/>
          <w:lang w:val="kk-KZ"/>
        </w:rPr>
        <w:t>қатысушы, бақылаушы субъект ұсынған қаржылық есептілік.</w:t>
      </w:r>
    </w:p>
    <w:p w14:paraId="337AA95E" w14:textId="77777777" w:rsidR="005E1145" w:rsidRDefault="005E1145" w:rsidP="005E1145">
      <w:pPr>
        <w:pStyle w:val="11"/>
        <w:ind w:left="1219"/>
        <w:jc w:val="both"/>
        <w:rPr>
          <w:rFonts w:ascii="Times New Roman" w:hAnsi="Times New Roman"/>
          <w:szCs w:val="28"/>
          <w:lang w:val="kk-KZ"/>
        </w:rPr>
      </w:pPr>
    </w:p>
    <w:p w14:paraId="03C05883" w14:textId="77777777" w:rsidR="005E1145" w:rsidRPr="00142EFC" w:rsidRDefault="005E1145" w:rsidP="005E1145">
      <w:pPr>
        <w:pStyle w:val="11"/>
        <w:ind w:left="1219"/>
        <w:jc w:val="both"/>
        <w:rPr>
          <w:rFonts w:ascii="Times New Roman" w:hAnsi="Times New Roman"/>
          <w:szCs w:val="28"/>
          <w:lang w:val="kk-KZ"/>
        </w:rPr>
      </w:pPr>
    </w:p>
    <w:p w14:paraId="05105982" w14:textId="77777777" w:rsidR="005E1145" w:rsidRDefault="005E1145" w:rsidP="005E1145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 </w:t>
      </w:r>
    </w:p>
    <w:p w14:paraId="5F468161" w14:textId="77777777" w:rsidR="005E1145" w:rsidRDefault="005E1145" w:rsidP="005E1145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2EDE4613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</w:t>
      </w:r>
    </w:p>
    <w:p w14:paraId="20330698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>
        <w:rPr>
          <w:rFonts w:ascii="TimesNewRomanPSMT" w:hAnsi="TimesNewRomanPSMT"/>
          <w:color w:val="000000"/>
          <w:szCs w:val="28"/>
          <w:lang w:val="kk-KZ"/>
        </w:rPr>
        <w:t>Ж</w:t>
      </w:r>
      <w:r w:rsidRPr="00826262">
        <w:rPr>
          <w:rFonts w:ascii="TimesNewRomanPSMT" w:hAnsi="TimesNewRomanPSMT"/>
          <w:color w:val="000000"/>
          <w:szCs w:val="28"/>
          <w:lang w:val="kk-KZ"/>
        </w:rPr>
        <w:t>еке қаржылық есептілік</w:t>
      </w:r>
    </w:p>
    <w:p w14:paraId="6090B7D4" w14:textId="77777777" w:rsidR="005E1145" w:rsidRPr="00BD1848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есептілікті қолдану аясы</w:t>
      </w:r>
    </w:p>
    <w:p w14:paraId="2AE92C37" w14:textId="77777777" w:rsidR="005E1145" w:rsidRPr="00826262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 New Roman" w:hAnsi="Times New Roman"/>
          <w:b/>
          <w:sz w:val="24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Қаржылық есептілік мақсатымен басқа субъектіні бақылауға алу</w:t>
      </w:r>
    </w:p>
    <w:p w14:paraId="4E51F88C" w14:textId="77777777" w:rsidR="005E1145" w:rsidRPr="00826262" w:rsidRDefault="005E1145" w:rsidP="005E1145">
      <w:pPr>
        <w:pStyle w:val="11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26262">
        <w:rPr>
          <w:rFonts w:ascii="TimesNewRomanPSMT" w:hAnsi="TimesNewRomanPSMT"/>
          <w:color w:val="000000"/>
          <w:szCs w:val="28"/>
          <w:lang w:val="kk-KZ"/>
        </w:rPr>
        <w:t>Шоғырландырылған қаржылық есептілікті ұсыну тәртібі</w:t>
      </w:r>
    </w:p>
    <w:p w14:paraId="3810AEFB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32B07"/>
    <w:multiLevelType w:val="hybridMultilevel"/>
    <w:tmpl w:val="BE2A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D2"/>
    <w:rsid w:val="00141DD2"/>
    <w:rsid w:val="00384D4A"/>
    <w:rsid w:val="003E4FE7"/>
    <w:rsid w:val="005E1145"/>
    <w:rsid w:val="00885408"/>
    <w:rsid w:val="008E7D0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D8C4"/>
  <w15:chartTrackingRefBased/>
  <w15:docId w15:val="{873F157D-614D-4903-8A47-E7E2B4B0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1DD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5E1145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4</cp:revision>
  <dcterms:created xsi:type="dcterms:W3CDTF">2024-10-28T04:11:00Z</dcterms:created>
  <dcterms:modified xsi:type="dcterms:W3CDTF">2024-10-29T13:07:00Z</dcterms:modified>
</cp:coreProperties>
</file>