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A8BFF" w14:textId="77777777" w:rsidR="0080162B" w:rsidRDefault="0080162B" w:rsidP="0080162B">
      <w:pPr>
        <w:pStyle w:val="11"/>
        <w:ind w:firstLine="709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F82F26">
        <w:rPr>
          <w:rFonts w:ascii="TimesNewRomanPS-BoldMT" w:hAnsi="TimesNewRomanPS-BoldMT"/>
          <w:b/>
          <w:bCs/>
          <w:color w:val="000000"/>
          <w:szCs w:val="28"/>
          <w:lang w:val="kk-KZ"/>
        </w:rPr>
        <w:t xml:space="preserve">Тақырып </w:t>
      </w:r>
      <w:r>
        <w:rPr>
          <w:rFonts w:ascii="TimesNewRomanPS-BoldMT" w:hAnsi="TimesNewRomanPS-BoldMT"/>
          <w:b/>
          <w:bCs/>
          <w:color w:val="000000"/>
          <w:szCs w:val="28"/>
          <w:lang w:val="kk-KZ"/>
        </w:rPr>
        <w:t>6</w:t>
      </w:r>
      <w:r w:rsidRPr="00F82F26">
        <w:rPr>
          <w:rFonts w:ascii="TimesNewRomanPS-BoldMT" w:hAnsi="TimesNewRomanPS-BoldMT"/>
          <w:b/>
          <w:bCs/>
          <w:color w:val="000000"/>
          <w:szCs w:val="28"/>
          <w:lang w:val="kk-KZ"/>
        </w:rPr>
        <w:t xml:space="preserve">. </w:t>
      </w:r>
      <w:r w:rsidRPr="00D921E2">
        <w:rPr>
          <w:rFonts w:ascii="TimesNewRomanPSMT" w:hAnsi="TimesNewRomanPSMT"/>
          <w:color w:val="000000"/>
          <w:szCs w:val="28"/>
          <w:lang w:val="kk-KZ"/>
        </w:rPr>
        <w:t>Бағалау резервтері, шартты міндеттемелер мен активтер</w:t>
      </w:r>
      <w:r>
        <w:rPr>
          <w:rFonts w:ascii="TimesNewRomanPSMT" w:hAnsi="TimesNewRomanPSMT"/>
          <w:color w:val="000000"/>
          <w:sz w:val="22"/>
          <w:szCs w:val="22"/>
          <w:lang w:val="kk-KZ"/>
        </w:rPr>
        <w:t>.</w:t>
      </w:r>
      <w:r w:rsidRPr="00867FD1">
        <w:rPr>
          <w:rFonts w:ascii="TimesNewRomanPSMT" w:hAnsi="TimesNewRomanPSMT"/>
          <w:color w:val="000000"/>
          <w:szCs w:val="28"/>
          <w:lang w:val="kk-KZ"/>
        </w:rPr>
        <w:t xml:space="preserve"> </w:t>
      </w:r>
    </w:p>
    <w:p w14:paraId="21598F54" w14:textId="77777777" w:rsidR="0080162B" w:rsidRDefault="0080162B" w:rsidP="0080162B">
      <w:pPr>
        <w:pStyle w:val="11"/>
        <w:ind w:firstLine="709"/>
        <w:jc w:val="both"/>
        <w:rPr>
          <w:rFonts w:ascii="TimesNewRomanPS-BoldItalicMT" w:hAnsi="TimesNewRomanPS-BoldItalicMT"/>
          <w:b/>
          <w:bCs/>
          <w:i/>
          <w:iCs/>
          <w:color w:val="000000"/>
          <w:szCs w:val="28"/>
          <w:lang w:val="kk-KZ"/>
        </w:rPr>
      </w:pPr>
    </w:p>
    <w:p w14:paraId="03DC4D41" w14:textId="77777777" w:rsidR="0080162B" w:rsidRDefault="0080162B" w:rsidP="0080162B">
      <w:pPr>
        <w:pStyle w:val="11"/>
        <w:ind w:firstLine="709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F82F26">
        <w:rPr>
          <w:rFonts w:ascii="TimesNewRomanPS-BoldItalicMT" w:hAnsi="TimesNewRomanPS-BoldItalicMT"/>
          <w:b/>
          <w:bCs/>
          <w:i/>
          <w:iCs/>
          <w:color w:val="000000"/>
          <w:szCs w:val="28"/>
          <w:lang w:val="kk-KZ"/>
        </w:rPr>
        <w:t xml:space="preserve">Дәрістің мақсаты: </w:t>
      </w:r>
      <w:r w:rsidRPr="005407FE">
        <w:rPr>
          <w:rFonts w:ascii="TimesNewRomanPSMT" w:hAnsi="TimesNewRomanPSMT"/>
          <w:color w:val="000000"/>
          <w:szCs w:val="28"/>
          <w:lang w:val="kk-KZ"/>
        </w:rPr>
        <w:t>Жылжымайтын</w:t>
      </w:r>
      <w:r>
        <w:rPr>
          <w:rFonts w:ascii="TimesNewRomanPSMT" w:hAnsi="TimesNewRomanPSMT"/>
          <w:color w:val="000000"/>
          <w:szCs w:val="28"/>
          <w:lang w:val="kk-KZ"/>
        </w:rPr>
        <w:t xml:space="preserve"> </w:t>
      </w:r>
      <w:r w:rsidRPr="005407FE">
        <w:rPr>
          <w:rFonts w:ascii="TimesNewRomanPSMT" w:hAnsi="TimesNewRomanPSMT"/>
          <w:color w:val="000000"/>
          <w:szCs w:val="28"/>
          <w:lang w:val="kk-KZ"/>
        </w:rPr>
        <w:t>мүлік, ғимараттар мен жабдықтар</w:t>
      </w:r>
      <w:r w:rsidRPr="00331930">
        <w:rPr>
          <w:rFonts w:ascii="TimesNewRomanPSMT" w:hAnsi="TimesNewRomanPSMT"/>
          <w:color w:val="000000"/>
          <w:szCs w:val="28"/>
          <w:lang w:val="kk-KZ"/>
        </w:rPr>
        <w:t xml:space="preserve"> есебінің тəртібі </w:t>
      </w:r>
      <w:r>
        <w:rPr>
          <w:rFonts w:ascii="TimesNewRomanPSMT" w:hAnsi="TimesNewRomanPSMT"/>
          <w:color w:val="000000"/>
          <w:szCs w:val="28"/>
          <w:lang w:val="kk-KZ"/>
        </w:rPr>
        <w:t>жайлы түсінік беру</w:t>
      </w:r>
    </w:p>
    <w:p w14:paraId="358C71E2" w14:textId="77777777" w:rsidR="0080162B" w:rsidRDefault="0080162B" w:rsidP="0080162B">
      <w:pPr>
        <w:pStyle w:val="11"/>
        <w:ind w:firstLine="70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</w:p>
    <w:p w14:paraId="67F9B893" w14:textId="77777777" w:rsidR="0080162B" w:rsidRDefault="0080162B" w:rsidP="0080162B">
      <w:pPr>
        <w:pStyle w:val="11"/>
        <w:ind w:firstLine="70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  <w:r w:rsidRPr="00F82F26">
        <w:rPr>
          <w:rFonts w:ascii="TimesNewRomanPS-BoldMT" w:hAnsi="TimesNewRomanPS-BoldMT"/>
          <w:b/>
          <w:bCs/>
          <w:color w:val="000000"/>
          <w:szCs w:val="28"/>
          <w:lang w:val="kk-KZ"/>
        </w:rPr>
        <w:t>Дәріс сабағының жоспары</w:t>
      </w:r>
    </w:p>
    <w:p w14:paraId="722AD88F" w14:textId="77777777" w:rsidR="0080162B" w:rsidRPr="0014336B" w:rsidRDefault="0080162B" w:rsidP="0080162B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14336B">
        <w:rPr>
          <w:rFonts w:ascii="TimesNewRomanPS-BoldMT" w:hAnsi="TimesNewRomanPS-BoldMT"/>
          <w:bCs/>
          <w:color w:val="000000"/>
          <w:szCs w:val="28"/>
          <w:lang w:val="kk-KZ"/>
        </w:rPr>
        <w:t>1.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EE567C">
        <w:rPr>
          <w:rFonts w:ascii="TimesNewRomanPS-BoldMT" w:hAnsi="TimesNewRomanPS-BoldMT"/>
          <w:bCs/>
          <w:color w:val="000000"/>
          <w:szCs w:val="28"/>
          <w:lang w:val="kk-KZ"/>
        </w:rPr>
        <w:t>Бағалау резервтері</w:t>
      </w:r>
    </w:p>
    <w:p w14:paraId="70C2DB22" w14:textId="77777777" w:rsidR="0080162B" w:rsidRPr="0014336B" w:rsidRDefault="0080162B" w:rsidP="0080162B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14336B">
        <w:rPr>
          <w:rFonts w:ascii="TimesNewRomanPS-BoldMT" w:hAnsi="TimesNewRomanPS-BoldMT"/>
          <w:bCs/>
          <w:color w:val="000000"/>
          <w:szCs w:val="28"/>
          <w:lang w:val="kk-KZ"/>
        </w:rPr>
        <w:t xml:space="preserve">2. </w:t>
      </w:r>
      <w:r w:rsidRPr="006B6CA8">
        <w:rPr>
          <w:rFonts w:ascii="TimesNewRomanPS-BoldMT" w:hAnsi="TimesNewRomanPS-BoldMT"/>
          <w:bCs/>
          <w:color w:val="000000"/>
          <w:szCs w:val="28"/>
          <w:lang w:val="kk-KZ"/>
        </w:rPr>
        <w:t>Шартты міндеттемелер</w:t>
      </w:r>
    </w:p>
    <w:p w14:paraId="7E5DAAD9" w14:textId="77777777" w:rsidR="0080162B" w:rsidRPr="0014336B" w:rsidRDefault="0080162B" w:rsidP="0080162B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14336B">
        <w:rPr>
          <w:rFonts w:ascii="TimesNewRomanPS-BoldMT" w:hAnsi="TimesNewRomanPS-BoldMT"/>
          <w:bCs/>
          <w:color w:val="000000"/>
          <w:szCs w:val="28"/>
          <w:lang w:val="kk-KZ"/>
        </w:rPr>
        <w:t xml:space="preserve">3. </w:t>
      </w:r>
      <w:r w:rsidRPr="006B6CA8">
        <w:rPr>
          <w:rFonts w:ascii="TimesNewRomanPS-BoldMT" w:hAnsi="TimesNewRomanPS-BoldMT"/>
          <w:bCs/>
          <w:color w:val="000000"/>
          <w:szCs w:val="28"/>
          <w:lang w:val="kk-KZ"/>
        </w:rPr>
        <w:t>Шартты активтер</w:t>
      </w:r>
    </w:p>
    <w:p w14:paraId="6A703EA4" w14:textId="77777777" w:rsidR="0080162B" w:rsidRDefault="0080162B" w:rsidP="0080162B">
      <w:pPr>
        <w:pStyle w:val="11"/>
        <w:ind w:left="1219"/>
        <w:jc w:val="both"/>
        <w:rPr>
          <w:rFonts w:ascii="Times New Roman" w:hAnsi="Times New Roman"/>
          <w:b/>
          <w:sz w:val="24"/>
          <w:lang w:val="kk-KZ"/>
        </w:rPr>
      </w:pPr>
    </w:p>
    <w:p w14:paraId="6F200480" w14:textId="77777777" w:rsidR="0080162B" w:rsidRPr="00D921E2" w:rsidRDefault="0080162B" w:rsidP="0080162B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D921E2">
        <w:rPr>
          <w:rFonts w:ascii="Times New Roman" w:hAnsi="Times New Roman"/>
          <w:szCs w:val="28"/>
          <w:lang w:val="kk-KZ"/>
        </w:rPr>
        <w:t>Осы Стандарттың мақсаты – (a) бағалау қорларына, шартты міндеттемелер мен шартты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активтерге анықтама беру (b) бағалау қоры мойындалуы тиіс оларды бағалау қалайша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жүргізілуі керектігі, олар туралы ашып көрсетулер қалайша жүргізілуі керек жағдайларды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анықтау. Стандарт шартты жағдайлар мен шартты активтер туралы нақты ақпарат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қаржылық есептіліктен қолданушылар олардың сипаты, есеп мерзімі мен сомасын түсіне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алуы үшін ашып көрсетілуі тиіс.</w:t>
      </w:r>
    </w:p>
    <w:p w14:paraId="3A59840F" w14:textId="77777777" w:rsidR="0080162B" w:rsidRPr="00D921E2" w:rsidRDefault="0080162B" w:rsidP="0080162B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D921E2">
        <w:rPr>
          <w:rFonts w:ascii="Times New Roman" w:hAnsi="Times New Roman"/>
          <w:szCs w:val="28"/>
          <w:lang w:val="kk-KZ"/>
        </w:rPr>
        <w:t>Қолдану аясы. Қаржылық есептілікті есептеу әдісі бойынша құратын және ұсынатын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субъект осы Стандартты, бағалау қорларын, шартты міндеттемелерді есептеу үшін, мына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бағалау қорлары мен шартты міндеттемелерден өзгелерге қолдануы керек:</w:t>
      </w:r>
    </w:p>
    <w:p w14:paraId="172BFA1C" w14:textId="77777777" w:rsidR="0080162B" w:rsidRPr="00D921E2" w:rsidRDefault="0080162B" w:rsidP="0080162B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D921E2">
        <w:rPr>
          <w:rFonts w:ascii="Times New Roman" w:hAnsi="Times New Roman"/>
          <w:szCs w:val="28"/>
          <w:lang w:val="kk-KZ"/>
        </w:rPr>
        <w:t>a) Субъекті ұсынатын ол үшін өтеу алмайтын әлеуметтік пайдадан туындайтын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ұсынылатын тауарлар мен қызметтер құнына тең жақындастырылған, осы пайданы тікелей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алушылардан;</w:t>
      </w:r>
    </w:p>
    <w:p w14:paraId="0D26C2AA" w14:textId="77777777" w:rsidR="0080162B" w:rsidRPr="00D921E2" w:rsidRDefault="0080162B" w:rsidP="0080162B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D921E2">
        <w:rPr>
          <w:rFonts w:ascii="Times New Roman" w:hAnsi="Times New Roman"/>
          <w:szCs w:val="28"/>
          <w:lang w:val="kk-KZ"/>
        </w:rPr>
        <w:t>b) Келешекте орындалатын келісімшарттар нәтижесінде туындайтындар, осы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параграфтың басқа ережелерін сақтау жағдайындағы жүктеу келісімшарттарын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есептемегенде;</w:t>
      </w:r>
    </w:p>
    <w:p w14:paraId="2306B9F8" w14:textId="77777777" w:rsidR="0080162B" w:rsidRPr="00D921E2" w:rsidRDefault="0080162B" w:rsidP="0080162B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D921E2">
        <w:rPr>
          <w:rFonts w:ascii="Times New Roman" w:hAnsi="Times New Roman"/>
          <w:szCs w:val="28"/>
          <w:lang w:val="kk-KZ"/>
        </w:rPr>
        <w:t>c) Тиiстi халықаралық немесе ұлттық стандартты қолдану аясына түсетін сақтандыру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келiсiм-шарттары негізінде туындайтын, сақтандыру келiсiм-шарттарын қарастыратын;</w:t>
      </w:r>
    </w:p>
    <w:p w14:paraId="54191A23" w14:textId="77777777" w:rsidR="0080162B" w:rsidRPr="00D921E2" w:rsidRDefault="0080162B" w:rsidP="0080162B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D921E2">
        <w:rPr>
          <w:rFonts w:ascii="Times New Roman" w:hAnsi="Times New Roman"/>
          <w:szCs w:val="28"/>
          <w:lang w:val="kk-KZ"/>
        </w:rPr>
        <w:t>d) Басқа ҚС ХҚЕС қолданыс аясына түсетіндер;</w:t>
      </w:r>
    </w:p>
    <w:p w14:paraId="620C8FA6" w14:textId="77777777" w:rsidR="0080162B" w:rsidRPr="00D921E2" w:rsidRDefault="0080162B" w:rsidP="0080162B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D921E2">
        <w:rPr>
          <w:rFonts w:ascii="Times New Roman" w:hAnsi="Times New Roman"/>
          <w:szCs w:val="28"/>
          <w:lang w:val="kk-KZ"/>
        </w:rPr>
        <w:t>e) Пайда салығымен немесе оның баламасымен байланысты туындайтын;</w:t>
      </w:r>
    </w:p>
    <w:p w14:paraId="16EFB277" w14:textId="77777777" w:rsidR="0080162B" w:rsidRPr="00D921E2" w:rsidRDefault="0080162B" w:rsidP="0080162B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D921E2">
        <w:rPr>
          <w:rFonts w:ascii="Times New Roman" w:hAnsi="Times New Roman"/>
          <w:szCs w:val="28"/>
          <w:lang w:val="kk-KZ"/>
        </w:rPr>
        <w:t>f) Осы Стандартта қарастырылған қайта құрылымдау нәтижесінде төленетін демалыс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жәрдемақыларын есептемегенде, қызметкерлерге сыйақылар төлеумен байланысты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туындайтын.</w:t>
      </w:r>
    </w:p>
    <w:p w14:paraId="049E4CEF" w14:textId="77777777" w:rsidR="0080162B" w:rsidRPr="00D921E2" w:rsidRDefault="0080162B" w:rsidP="0080162B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D921E2">
        <w:rPr>
          <w:rFonts w:ascii="Times New Roman" w:hAnsi="Times New Roman"/>
          <w:szCs w:val="28"/>
          <w:lang w:val="kk-KZ"/>
        </w:rPr>
        <w:t>Əлеуметтік пайдалар. Осы Стандарт мақсатында әлеуметтік пайдаларға тауар, қызмет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және үкіметтің әлеуметтік саясатын жүзеге асыру үшін ұсынылатын басқа пайдалар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жатқызады. Берілген пайдалар мыналарды қамти алады:</w:t>
      </w:r>
    </w:p>
    <w:p w14:paraId="47FA2E29" w14:textId="77777777" w:rsidR="0080162B" w:rsidRPr="00D921E2" w:rsidRDefault="0080162B" w:rsidP="0080162B">
      <w:pPr>
        <w:pStyle w:val="11"/>
        <w:widowControl w:val="0"/>
        <w:ind w:firstLine="709"/>
        <w:jc w:val="both"/>
        <w:rPr>
          <w:rFonts w:ascii="Times New Roman" w:hAnsi="Times New Roman"/>
          <w:szCs w:val="28"/>
          <w:lang w:val="kk-KZ"/>
        </w:rPr>
      </w:pPr>
      <w:r w:rsidRPr="00D921E2">
        <w:rPr>
          <w:rFonts w:ascii="Times New Roman" w:hAnsi="Times New Roman"/>
          <w:szCs w:val="28"/>
          <w:lang w:val="kk-KZ"/>
        </w:rPr>
        <w:t>a) Денсаулық сақтау, білім, тұрғын үй құрылысы, көліктік қамтамасыз ету және басқа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қызметтер саласында қоғамға әлеуметтік қызмет ұсыну. Көптеген жағдайларда берілген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 xml:space="preserve">қызметтерді алушылар осы қызметтер құнына сәйкес соманы төлеуі қажет; </w:t>
      </w:r>
    </w:p>
    <w:p w14:paraId="63C9C3B8" w14:textId="77777777" w:rsidR="0080162B" w:rsidRPr="00D921E2" w:rsidRDefault="0080162B" w:rsidP="0080162B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D921E2">
        <w:rPr>
          <w:rFonts w:ascii="Times New Roman" w:hAnsi="Times New Roman"/>
          <w:szCs w:val="28"/>
          <w:lang w:val="kk-KZ"/>
        </w:rPr>
        <w:lastRenderedPageBreak/>
        <w:t>b) Отбасыларға, қарияларға, мүгедектерге, жұмыссыздарға, ардагерлерге және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басқаларға жәрдемақы төлеу. Яғни, мемлекет индивидумдарға және қоғамдағы топтарға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олардың негізгі қажеттіліктеріне жауап беретін қызметтердің қолжетімдігін қамтамасыз ету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немесе табыстарын толықтыру ретінде барлық деңгейде қаржылық көмек көрсете алады.</w:t>
      </w:r>
    </w:p>
    <w:p w14:paraId="4E66481A" w14:textId="77777777" w:rsidR="0080162B" w:rsidRPr="00D921E2" w:rsidRDefault="0080162B" w:rsidP="0080162B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D921E2">
        <w:rPr>
          <w:rFonts w:ascii="Times New Roman" w:hAnsi="Times New Roman"/>
          <w:szCs w:val="28"/>
          <w:lang w:val="kk-KZ"/>
        </w:rPr>
        <w:t>Көптеген жағдайларда әлеуметтік пайданы қамтамасыз ету бойынша міндеттемелер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халықты белгілі тауарлар мен қызметтерді қамтамасыз ету мақсатында өкіметтің арнайы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ұзақ мерзімді шаралар қабылдау нәтижелері ретінде туындайды. Əлеуметтік міндеттеме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орындаумен байланысты тауарлар мен қызметтерге сұраныс, олардың сипаты мен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ұсынылуы демографиялық және әлеуметтік жағдайлардың жиынтығына байланысты және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қиын болжамданатындар. Берілген пайдалар негізінен халықаралық валюта қорының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мемлекеттік қаржылық статистика жіктеуінде санаттарына түседі және олармен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байланысты міндеттемелермен байланысты соманы анықтау үшін актуарийлік бағалауды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талап етеді.</w:t>
      </w:r>
    </w:p>
    <w:p w14:paraId="44E8FA9E" w14:textId="77777777" w:rsidR="0080162B" w:rsidRDefault="0080162B" w:rsidP="0080162B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D921E2">
        <w:rPr>
          <w:rFonts w:ascii="Times New Roman" w:hAnsi="Times New Roman"/>
          <w:szCs w:val="28"/>
          <w:lang w:val="kk-KZ"/>
        </w:rPr>
        <w:t>Əлеуметтік пайдадан туатын бағалау қоры немесе шартты міндеттеме осы Стандарт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қолданыс аясымен шығарылуы үшін берілген пайданы тікелей пайда алушылардан берілген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тауар мен қызметтер құнына тең жақындастырылған өтеу алмауы керек. Берілген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шығарулар төлем мен алынатын пайда арасында тікелей байланыс болмаған жағдайда,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әлеуметтік пайда берумен байланысты нақты төлем өндіру қарастырылатын жағдайларға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қатысты болып табылады. Осы Стандарттың қолданыс аясынан бағалау қорлары мен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шартты міндеттемелерді шығару</w:t>
      </w:r>
      <w:r>
        <w:rPr>
          <w:rFonts w:ascii="Times New Roman" w:hAnsi="Times New Roman"/>
          <w:szCs w:val="28"/>
          <w:lang w:val="kk-KZ"/>
        </w:rPr>
        <w:t>:</w:t>
      </w:r>
    </w:p>
    <w:p w14:paraId="38E34BD3" w14:textId="77777777" w:rsidR="0080162B" w:rsidRPr="00D921E2" w:rsidRDefault="0080162B" w:rsidP="0080162B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D921E2">
        <w:rPr>
          <w:rFonts w:ascii="Times New Roman" w:hAnsi="Times New Roman"/>
          <w:szCs w:val="28"/>
          <w:lang w:val="kk-KZ"/>
        </w:rPr>
        <w:t>а) міндеттеуші оқиға</w:t>
      </w:r>
      <w:r>
        <w:rPr>
          <w:rFonts w:ascii="Times New Roman" w:hAnsi="Times New Roman"/>
          <w:szCs w:val="28"/>
          <w:lang w:val="kk-KZ"/>
        </w:rPr>
        <w:t>лар нені құрайтынын анықтау;</w:t>
      </w:r>
    </w:p>
    <w:p w14:paraId="02E0C1FC" w14:textId="77777777" w:rsidR="0080162B" w:rsidRPr="00D921E2" w:rsidRDefault="0080162B" w:rsidP="0080162B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D921E2">
        <w:rPr>
          <w:rFonts w:ascii="Times New Roman" w:hAnsi="Times New Roman"/>
          <w:szCs w:val="28"/>
          <w:lang w:val="kk-KZ"/>
        </w:rPr>
        <w:t>b) міндеттемелерді бағалау ұсынылатын Стандартты жариялағанға дейін әрі қарай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қарастыруды талап ететін комитет пікірлерін бейнелейді. Мәселен, субъект пайда алу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өлшемдеріне сәйкес келе бастағанда, міндеттеуші оқиғалар туады ма деген әр түрлі пікірлер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болатынын комитет ескереді немесе бұл ертерек кезеңде туындайды. Осыған ұқсас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міндеттемелер сомасы ағымдағы кезеңнің ұсынылатын пайданы бағалауды немесе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актуарлийлік негізде анықталатын барлық күтілетін пайданың дисконтталған құнын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бейнелейтіндігі туралы әр түрлі пікірлер бар.</w:t>
      </w:r>
    </w:p>
    <w:p w14:paraId="037E9C58" w14:textId="77777777" w:rsidR="0080162B" w:rsidRPr="00D921E2" w:rsidRDefault="0080162B" w:rsidP="0080162B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D921E2">
        <w:rPr>
          <w:rFonts w:ascii="Times New Roman" w:hAnsi="Times New Roman"/>
          <w:szCs w:val="28"/>
          <w:lang w:val="kk-KZ"/>
        </w:rPr>
        <w:t>Субъект бағалау қорын осындай міндеттемелер бойынша мойындауды таңдаса, субъект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921E2">
        <w:rPr>
          <w:rFonts w:ascii="Times New Roman" w:hAnsi="Times New Roman"/>
          <w:szCs w:val="28"/>
          <w:lang w:val="kk-KZ"/>
        </w:rPr>
        <w:t>бағалау қоры мойындалған негізді және оларды бағалау негізін ашып көрсетуі керек.</w:t>
      </w:r>
    </w:p>
    <w:p w14:paraId="2B408D80" w14:textId="77777777" w:rsidR="0080162B" w:rsidRDefault="0080162B" w:rsidP="0080162B">
      <w:pPr>
        <w:pStyle w:val="11"/>
        <w:ind w:left="1219"/>
        <w:jc w:val="both"/>
        <w:rPr>
          <w:rFonts w:ascii="Times New Roman" w:hAnsi="Times New Roman"/>
          <w:b/>
          <w:sz w:val="24"/>
          <w:lang w:val="kk-KZ"/>
        </w:rPr>
      </w:pPr>
    </w:p>
    <w:p w14:paraId="66813471" w14:textId="77777777" w:rsidR="0080162B" w:rsidRDefault="0080162B" w:rsidP="0080162B">
      <w:pPr>
        <w:pStyle w:val="11"/>
        <w:ind w:left="121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  <w:r w:rsidRPr="00035B70">
        <w:rPr>
          <w:rFonts w:ascii="TimesNewRomanPS-BoldMT" w:hAnsi="TimesNewRomanPS-BoldMT"/>
          <w:b/>
          <w:bCs/>
          <w:color w:val="000000"/>
          <w:szCs w:val="28"/>
          <w:lang w:val="kk-KZ"/>
        </w:rPr>
        <w:t>Бақылау сұрақтары</w:t>
      </w:r>
    </w:p>
    <w:p w14:paraId="05C5B28D" w14:textId="77777777" w:rsidR="0080162B" w:rsidRPr="006B6CA8" w:rsidRDefault="0080162B" w:rsidP="0080162B">
      <w:pPr>
        <w:pStyle w:val="11"/>
        <w:numPr>
          <w:ilvl w:val="0"/>
          <w:numId w:val="1"/>
        </w:numPr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6B6CA8">
        <w:rPr>
          <w:rFonts w:ascii="TimesNewRomanPSMT" w:hAnsi="TimesNewRomanPSMT"/>
          <w:color w:val="000000"/>
          <w:szCs w:val="28"/>
          <w:lang w:val="kk-KZ"/>
        </w:rPr>
        <w:t>Экономикалық пайда немесе сервистік əлеует болатын ықтимал ресурстарды  шығару</w:t>
      </w:r>
    </w:p>
    <w:p w14:paraId="0C5F7EC7" w14:textId="77777777" w:rsidR="0080162B" w:rsidRPr="006B6CA8" w:rsidRDefault="0080162B" w:rsidP="0080162B">
      <w:pPr>
        <w:pStyle w:val="11"/>
        <w:numPr>
          <w:ilvl w:val="0"/>
          <w:numId w:val="1"/>
        </w:numPr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6B6CA8">
        <w:rPr>
          <w:rFonts w:ascii="TimesNewRomanPS-BoldMT" w:hAnsi="TimesNewRomanPS-BoldMT"/>
          <w:bCs/>
          <w:color w:val="000000"/>
          <w:szCs w:val="28"/>
          <w:lang w:val="kk-KZ"/>
        </w:rPr>
        <w:t>Міндеттемелерді сенімді есептік бағалау</w:t>
      </w:r>
    </w:p>
    <w:p w14:paraId="468F4A92" w14:textId="77777777" w:rsidR="0080162B" w:rsidRPr="006B6CA8" w:rsidRDefault="0080162B" w:rsidP="0080162B">
      <w:pPr>
        <w:pStyle w:val="11"/>
        <w:numPr>
          <w:ilvl w:val="0"/>
          <w:numId w:val="1"/>
        </w:numPr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6B6CA8">
        <w:rPr>
          <w:rFonts w:ascii="TimesNewRomanPSMT" w:hAnsi="TimesNewRomanPSMT"/>
          <w:color w:val="000000"/>
          <w:szCs w:val="28"/>
          <w:lang w:val="kk-KZ"/>
        </w:rPr>
        <w:t>Бағалау резервтеріндегі өзгерістер</w:t>
      </w:r>
    </w:p>
    <w:p w14:paraId="022C9850" w14:textId="77777777" w:rsidR="0080162B" w:rsidRPr="00035B70" w:rsidRDefault="0080162B" w:rsidP="0080162B">
      <w:pPr>
        <w:pStyle w:val="11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lang w:val="kk-KZ"/>
        </w:rPr>
      </w:pPr>
      <w:r w:rsidRPr="006B6CA8">
        <w:rPr>
          <w:rFonts w:ascii="TimesNewRomanPSMT" w:hAnsi="TimesNewRomanPSMT"/>
          <w:color w:val="000000"/>
          <w:szCs w:val="28"/>
          <w:lang w:val="kk-KZ"/>
        </w:rPr>
        <w:t>Бағалау резервтерін пайдалану</w:t>
      </w:r>
    </w:p>
    <w:p w14:paraId="03DBDD4E" w14:textId="77777777" w:rsidR="0080162B" w:rsidRDefault="0080162B" w:rsidP="0080162B">
      <w:pPr>
        <w:pStyle w:val="11"/>
        <w:numPr>
          <w:ilvl w:val="0"/>
          <w:numId w:val="1"/>
        </w:numPr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6B6CA8">
        <w:rPr>
          <w:rFonts w:ascii="TimesNewRomanPS-BoldMT" w:hAnsi="TimesNewRomanPS-BoldMT"/>
          <w:bCs/>
          <w:color w:val="000000"/>
          <w:szCs w:val="28"/>
          <w:lang w:val="kk-KZ"/>
        </w:rPr>
        <w:t>Активтің болжамды шығысы</w:t>
      </w:r>
    </w:p>
    <w:p w14:paraId="6B6998AE" w14:textId="77777777" w:rsidR="00CB0C24" w:rsidRDefault="00CB0C24"/>
    <w:sectPr w:rsidR="00CB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2813D7"/>
    <w:multiLevelType w:val="hybridMultilevel"/>
    <w:tmpl w:val="A7748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960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7E9"/>
    <w:rsid w:val="001277E9"/>
    <w:rsid w:val="003E4FE7"/>
    <w:rsid w:val="0080162B"/>
    <w:rsid w:val="008E7D03"/>
    <w:rsid w:val="00CB0C24"/>
    <w:rsid w:val="00D876DE"/>
    <w:rsid w:val="00E3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BD54D-155E-4367-86E9-B0651D64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7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7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7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77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77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77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77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77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77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7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7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7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77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77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77E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7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77E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77E9"/>
    <w:rPr>
      <w:b/>
      <w:bCs/>
      <w:smallCaps/>
      <w:color w:val="0F4761" w:themeColor="accent1" w:themeShade="BF"/>
      <w:spacing w:val="5"/>
    </w:rPr>
  </w:style>
  <w:style w:type="paragraph" w:customStyle="1" w:styleId="11">
    <w:name w:val="Без интервала1"/>
    <w:rsid w:val="0080162B"/>
    <w:pPr>
      <w:spacing w:after="0" w:line="240" w:lineRule="auto"/>
    </w:pPr>
    <w:rPr>
      <w:rFonts w:ascii="Arial" w:eastAsia="Calibri" w:hAnsi="Arial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Тажикенова Сапия Каргабаевна</dc:creator>
  <cp:keywords/>
  <dc:description/>
  <cp:lastModifiedBy>Тажикенова Сапия Каргабаевна</cp:lastModifiedBy>
  <cp:revision>2</cp:revision>
  <dcterms:created xsi:type="dcterms:W3CDTF">2024-10-28T04:10:00Z</dcterms:created>
  <dcterms:modified xsi:type="dcterms:W3CDTF">2024-10-28T04:10:00Z</dcterms:modified>
</cp:coreProperties>
</file>