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5F90D" w14:textId="77777777" w:rsidR="00854AED" w:rsidRDefault="00854AED" w:rsidP="00854AED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Тақырып </w:t>
      </w:r>
      <w:r>
        <w:rPr>
          <w:rFonts w:ascii="TimesNewRomanPS-BoldMT" w:hAnsi="TimesNewRomanPS-BoldMT"/>
          <w:b/>
          <w:bCs/>
          <w:color w:val="000000"/>
          <w:szCs w:val="28"/>
          <w:lang w:val="kk-KZ"/>
        </w:rPr>
        <w:t>5</w:t>
      </w: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. </w:t>
      </w:r>
      <w:r w:rsidRPr="005407FE">
        <w:rPr>
          <w:rFonts w:ascii="TimesNewRomanPSMT" w:hAnsi="TimesNewRomanPSMT"/>
          <w:color w:val="000000"/>
          <w:szCs w:val="28"/>
          <w:lang w:val="kk-KZ"/>
        </w:rPr>
        <w:t>Жылжымайтын мүлік, ғимараттар мен жабдықтар</w:t>
      </w:r>
      <w:r>
        <w:rPr>
          <w:rFonts w:ascii="TimesNewRomanPSMT" w:hAnsi="TimesNewRomanPSMT"/>
          <w:color w:val="000000"/>
          <w:sz w:val="22"/>
          <w:szCs w:val="22"/>
          <w:lang w:val="kk-KZ"/>
        </w:rPr>
        <w:t>.</w:t>
      </w:r>
      <w:r w:rsidRPr="00867FD1">
        <w:rPr>
          <w:rFonts w:ascii="TimesNewRomanPSMT" w:hAnsi="TimesNewRomanPSMT"/>
          <w:color w:val="000000"/>
          <w:szCs w:val="28"/>
          <w:lang w:val="kk-KZ"/>
        </w:rPr>
        <w:t xml:space="preserve"> </w:t>
      </w:r>
    </w:p>
    <w:p w14:paraId="765040CF" w14:textId="77777777" w:rsidR="00854AED" w:rsidRDefault="00854AED" w:rsidP="00854AED">
      <w:pPr>
        <w:pStyle w:val="11"/>
        <w:ind w:firstLine="709"/>
        <w:jc w:val="both"/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</w:pPr>
    </w:p>
    <w:p w14:paraId="7FD34446" w14:textId="77777777" w:rsidR="00854AED" w:rsidRDefault="00854AED" w:rsidP="00854AED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  <w:t xml:space="preserve">Дәрістің мақсаты: </w:t>
      </w:r>
      <w:r w:rsidRPr="005407FE">
        <w:rPr>
          <w:rFonts w:ascii="TimesNewRomanPSMT" w:hAnsi="TimesNewRomanPSMT"/>
          <w:color w:val="000000"/>
          <w:szCs w:val="28"/>
          <w:lang w:val="kk-KZ"/>
        </w:rPr>
        <w:t>Жылжымайтын</w:t>
      </w:r>
      <w:r>
        <w:rPr>
          <w:rFonts w:ascii="TimesNewRomanPSMT" w:hAnsi="TimesNewRomanPSMT"/>
          <w:color w:val="000000"/>
          <w:szCs w:val="28"/>
          <w:lang w:val="kk-KZ"/>
        </w:rPr>
        <w:t xml:space="preserve"> </w:t>
      </w:r>
      <w:r w:rsidRPr="005407FE">
        <w:rPr>
          <w:rFonts w:ascii="TimesNewRomanPSMT" w:hAnsi="TimesNewRomanPSMT"/>
          <w:color w:val="000000"/>
          <w:szCs w:val="28"/>
          <w:lang w:val="kk-KZ"/>
        </w:rPr>
        <w:t>мүлік, ғимараттар мен жабдықтар</w:t>
      </w:r>
      <w:r w:rsidRPr="00331930">
        <w:rPr>
          <w:rFonts w:ascii="TimesNewRomanPSMT" w:hAnsi="TimesNewRomanPSMT"/>
          <w:color w:val="000000"/>
          <w:szCs w:val="28"/>
          <w:lang w:val="kk-KZ"/>
        </w:rPr>
        <w:t xml:space="preserve"> есебінің тəртібі </w:t>
      </w:r>
      <w:r>
        <w:rPr>
          <w:rFonts w:ascii="TimesNewRomanPSMT" w:hAnsi="TimesNewRomanPSMT"/>
          <w:color w:val="000000"/>
          <w:szCs w:val="28"/>
          <w:lang w:val="kk-KZ"/>
        </w:rPr>
        <w:t>жайлы түсінік беру</w:t>
      </w:r>
    </w:p>
    <w:p w14:paraId="66EF3407" w14:textId="77777777" w:rsidR="00854AED" w:rsidRDefault="00854AED" w:rsidP="00854AED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01ABE177" w14:textId="77777777" w:rsidR="00854AED" w:rsidRDefault="00854AED" w:rsidP="00854AED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>Дәріс сабағының жоспары</w:t>
      </w:r>
    </w:p>
    <w:p w14:paraId="39F53B71" w14:textId="77777777" w:rsidR="00854AED" w:rsidRPr="0014336B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>1.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77241D">
        <w:rPr>
          <w:rFonts w:ascii="TimesNewRomanPS-BoldMT" w:hAnsi="TimesNewRomanPS-BoldMT"/>
          <w:bCs/>
          <w:color w:val="000000"/>
          <w:szCs w:val="28"/>
          <w:lang w:val="kk-KZ"/>
        </w:rPr>
        <w:t>Мəдени мұра активтері</w:t>
      </w:r>
    </w:p>
    <w:p w14:paraId="0FF63426" w14:textId="77777777" w:rsidR="00854AED" w:rsidRPr="0014336B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2. </w:t>
      </w:r>
      <w:r w:rsidRPr="0077241D">
        <w:rPr>
          <w:rFonts w:ascii="TimesNewRomanPS-BoldMT" w:hAnsi="TimesNewRomanPS-BoldMT"/>
          <w:bCs/>
          <w:color w:val="000000"/>
          <w:szCs w:val="28"/>
          <w:lang w:val="kk-KZ"/>
        </w:rPr>
        <w:t>Инфрақұрылымдық активте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>р</w:t>
      </w:r>
    </w:p>
    <w:p w14:paraId="733B54F7" w14:textId="77777777" w:rsidR="00854AED" w:rsidRPr="0014336B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3. </w:t>
      </w:r>
      <w:r w:rsidRPr="0077241D">
        <w:rPr>
          <w:rFonts w:ascii="TimesNewRomanPS-BoldMT" w:hAnsi="TimesNewRomanPS-BoldMT"/>
          <w:bCs/>
          <w:color w:val="000000"/>
          <w:szCs w:val="28"/>
          <w:lang w:val="kk-KZ"/>
        </w:rPr>
        <w:t>Қайта бағаланған құн бойынша есептеу үлгісі</w:t>
      </w:r>
    </w:p>
    <w:p w14:paraId="46378CA7" w14:textId="77777777" w:rsidR="00854AED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4. 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>Жалгерлік</w:t>
      </w:r>
    </w:p>
    <w:p w14:paraId="5C1BC57F" w14:textId="77777777" w:rsidR="00854AED" w:rsidRPr="0014336B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>
        <w:rPr>
          <w:rFonts w:ascii="TimesNewRomanPS-BoldMT" w:hAnsi="TimesNewRomanPS-BoldMT"/>
          <w:bCs/>
          <w:color w:val="000000"/>
          <w:szCs w:val="28"/>
          <w:lang w:val="kk-KZ"/>
        </w:rPr>
        <w:t>5. Инвестицияланатын жылжымайтын мүлік</w:t>
      </w:r>
      <w:r w:rsidRPr="00331930"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</w:p>
    <w:p w14:paraId="30748961" w14:textId="77777777" w:rsidR="00854AED" w:rsidRDefault="00854AED" w:rsidP="00854AED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01C72BD4" w14:textId="77777777" w:rsidR="00854AED" w:rsidRPr="006F2D89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«Жылжымайтын мүлік, ғимараттар мен жабдықтар» 17 ҚСХЕХС 2001 жылғы желтоқсан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айында жарияланған. 2006 жылғы желтоқсан айында ҚС ХҚЕС К 17 ҚС ХҚЕС қайта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қарастырылған нұсқасын жариялады. Сол кезден бастап 17 ҚС ХҚЕС түзетулерді келесі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қоғамдық сектор үшін қаржылық есептіліктің стандаттары енгізді:</w:t>
      </w:r>
    </w:p>
    <w:p w14:paraId="50E91278" w14:textId="77777777" w:rsidR="00854AED" w:rsidRPr="006F2D89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· «Қызмет көрсетуге концессиялық келісім: концедент» 32 ҚС ХҚЕС (2011 жылғы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қазан айында жарияланған);</w:t>
      </w:r>
    </w:p>
    <w:p w14:paraId="1876771D" w14:textId="77777777" w:rsidR="00854AED" w:rsidRPr="006F2D89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· 2011 жылғы «ҚС ХҚЕС жетілдіру» (2011 жылғы қазан айында жарияланған);</w:t>
      </w:r>
    </w:p>
    <w:p w14:paraId="13C46523" w14:textId="77777777" w:rsidR="00854AED" w:rsidRPr="006F2D89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· «ҚС ХҚЕС жетілдіру» (2010 жылғы қаңтар айында жарияланған);</w:t>
      </w:r>
    </w:p>
    <w:p w14:paraId="70689BC5" w14:textId="77777777" w:rsidR="00854AED" w:rsidRPr="006F2D89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· «Ауыл шаруашылығы» 27 ҚС ХҚЕС (2009 жылғы желтоқсан айында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жарияланған);</w:t>
      </w:r>
    </w:p>
    <w:p w14:paraId="782CCD46" w14:textId="77777777" w:rsidR="00854AED" w:rsidRPr="006F2D89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· «Материалдық емес активтер» 31 ҚС ХҚЕС (2010 жылғы қаңтар айында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жарияланған)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Осы Стандарттың мақсаты қаржылық есептілікті қолданушылар өзінің негізгі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қаражатына субъектінің инвестициясы туралы ақпаратты және осындай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инвестициялардағы өзгерістерді түсіне алуы үшін негізгі қаражаттарды есептеу тәртібін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анықтаудан тұрады. Негізгі қаражаттарды есепке алудың негізгі мәселелері осылармен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байланысты мойындауға жататын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>:</w:t>
      </w:r>
    </w:p>
    <w:p w14:paraId="69CBE83E" w14:textId="77777777" w:rsidR="00854AED" w:rsidRPr="006F2D89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а) активтерді мойындау,</w:t>
      </w:r>
    </w:p>
    <w:p w14:paraId="4E998F6E" w14:textId="77777777" w:rsidR="00854AED" w:rsidRPr="006F2D89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b) олардың теңгерімдік құнын анықтау және</w:t>
      </w:r>
    </w:p>
    <w:p w14:paraId="742040EE" w14:textId="77777777" w:rsidR="00854AED" w:rsidRPr="006F2D89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с) өтемпұлдық аударымдар мен құнсыздану шығындары болып табылады.</w:t>
      </w:r>
    </w:p>
    <w:p w14:paraId="1467DFBA" w14:textId="77777777" w:rsidR="00854AED" w:rsidRPr="006F2D89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Қоғамдық сектор субъектілері көптеген жылдар бойы әр түрлі әдіспен, оның ішінде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сатып алу, сыйлық, мұраға қалдыру және тәркілеу арқылы алынған мәдени мұра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активтерінің елеулі қорын иелене алады. Бұл активтерді ақша ағымын түрлендіру қабілеті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үшін сирек иеленеді және осы мақсатта олардың қолданылуы үшін заңдық және әлеуметтік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кедергілер болуы мүмкін. Кейбір активтер мәдени құндылығымен қатар сервистік әлеуетке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ие болады, мәселен, қызметтік ғимараттар ретіндегі қолданылатын тарихи ғимараттар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жағдайында. Мұндай жағдайларда олар басқа да негізгі қаржы сияқты негізде мойындала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алады. Басқа жағдайларда мәдени мұра активтерінің әлеуеті мұра нысандары ретінде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 xml:space="preserve">сипаттамаларымен сипатталады, мысалы, ескерткіштер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lastRenderedPageBreak/>
        <w:t>мен үйінділер. Балама сервистік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әлеует бағалауға негіздерді таңдауға әсерін тигізе алады.</w:t>
      </w:r>
    </w:p>
    <w:p w14:paraId="6FFEA062" w14:textId="77777777" w:rsidR="00854AED" w:rsidRPr="006F2D89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Жылжымайтын мүлік нысандарының әділ құны, әдетте, бағалау арқылы анықталатын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олардың нарықтық құнымен анықталады. Ғимарат және жабдық нысанының әділ құны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бағалау кезінде анықталатын олардың нарықтық құны болып табылады. Актив құнын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бағалауды әдетте мойындалған және адекватты кәсіби білігі бар кәсіби бағалаушы жүзеге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асырады. Көптеген активтер үшін активті және өтімді нарықтағы белгіленген бағадан әділ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құнды бекіту оңай болып табылады. Мәселен, ағымды нарықтық бағалар жерге,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мамандандырылмаған ғимараттар, автокөлік құралдары және станоктар мен жабдықтардың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көптеген түріне алына алады.</w:t>
      </w:r>
    </w:p>
    <w:p w14:paraId="165BCA30" w14:textId="77777777" w:rsidR="00854AED" w:rsidRPr="006F2D89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Қоғамдық сектордың кейбір активтері бойынша осы активтер бойынша нарықтық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операциялардың болмауынан нарықтық құнды бекіту қиынға соғуы мүмкін. Қоғамдық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сектордың жекелеген субъектілері осындай активтердің айтарлықтай қорын игере алады.</w:t>
      </w:r>
    </w:p>
    <w:p w14:paraId="5A684D35" w14:textId="77777777" w:rsidR="00854AED" w:rsidRPr="006F2D89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Егер активті және өтімді нарықтағы жылжымайтын мүлік нысанының нарықтық құнын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анықтау үшін мәліметтер болмаса, әділ құн ұқсас жағдайдағы ұқсас сипаттамалар мен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мекендегі басқа нысандардың құнынан алынып бекітіледі. Мәселен, тек бірнеше мәміле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жасалған көптеген жылдар бойындағы ұзақ мерзімде ұсталып тұрған бос мемлекеттік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жердің әділ құны ұқсас сипаттағы және топографиядағы, ұқсас мекендегі және ол бойынша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нарықтық мәліметтер бар жердің нарықтық құнына негізделіп бағалана алады. Адам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тұрғызған мамандандырылған ғимараттар мен басқа құрылыстар жағдайында, орынның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өтемпұлдық құнынан немесе қалпына келтіру құнынан немесе пайдалы бірлік әдісі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негізінде (21 ҚС ХҚЕС қараңыз) әділ құн анықтала алады. Көптеген жағдайларда, активтің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орын басудың өтемпұлдық құны активті және өтімді нарықта ұқсас қалдық сервистік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әлеуетпен ұқсас актив сатып алу құны негізінде бекітіледі. Кейбір жағдайларда, активті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қалпына келтіру құны оның орнын басудың ең жақсы көрсеткіші болып табылады.</w:t>
      </w:r>
    </w:p>
    <w:p w14:paraId="6E66C5D0" w14:textId="77777777" w:rsidR="00854AED" w:rsidRPr="006F2D89" w:rsidRDefault="00854AED" w:rsidP="00854AED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Мәселен, парламент ғимараты бұзылған жағдайда ол ауыстырғаннан гөрі қайта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қалпына келтіріледі, себебі қоғам үшін маңызды болып табылады. Қайта бағалау жүргізу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жиілігі қайта бағалауға жатқызылған негізгі қаржының әділ құнындағы өзгерістерге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байланысты. Егер қайта бағаланған активтің әділ құны оның теңгерімдік құнынан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6F2D89">
        <w:rPr>
          <w:rFonts w:ascii="TimesNewRomanPS-BoldMT" w:hAnsi="TimesNewRomanPS-BoldMT"/>
          <w:bCs/>
          <w:color w:val="000000"/>
          <w:szCs w:val="28"/>
          <w:lang w:val="kk-KZ"/>
        </w:rPr>
        <w:t>айтарлықтай ерекшеленсе қосымша қайта бағалау қажет болады.</w:t>
      </w:r>
    </w:p>
    <w:p w14:paraId="77BFBB6A" w14:textId="77777777" w:rsidR="00854AED" w:rsidRDefault="00854AED" w:rsidP="00854AED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1185BF48" w14:textId="77777777" w:rsidR="00854AED" w:rsidRDefault="00854AED" w:rsidP="00854AED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035B70">
        <w:rPr>
          <w:rFonts w:ascii="TimesNewRomanPS-BoldMT" w:hAnsi="TimesNewRomanPS-BoldMT"/>
          <w:b/>
          <w:bCs/>
          <w:color w:val="000000"/>
          <w:szCs w:val="28"/>
          <w:lang w:val="kk-KZ"/>
        </w:rPr>
        <w:t>Бақылау сұрақтары</w:t>
      </w:r>
    </w:p>
    <w:p w14:paraId="5307E4AD" w14:textId="77777777" w:rsidR="00854AED" w:rsidRPr="0077241D" w:rsidRDefault="00854AED" w:rsidP="00854AED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77241D">
        <w:rPr>
          <w:rFonts w:ascii="TimesNewRomanPSMT" w:hAnsi="TimesNewRomanPSMT"/>
          <w:color w:val="000000"/>
          <w:szCs w:val="28"/>
          <w:lang w:val="kk-KZ"/>
        </w:rPr>
        <w:t>Мəдени мұра активтері</w:t>
      </w:r>
      <w:r>
        <w:rPr>
          <w:rFonts w:ascii="TimesNewRomanPSMT" w:hAnsi="TimesNewRomanPSMT"/>
          <w:color w:val="000000"/>
          <w:szCs w:val="28"/>
          <w:lang w:val="kk-KZ"/>
        </w:rPr>
        <w:t>не не жатады?</w:t>
      </w:r>
    </w:p>
    <w:p w14:paraId="70DCB18A" w14:textId="77777777" w:rsidR="00854AED" w:rsidRPr="0077241D" w:rsidRDefault="00854AED" w:rsidP="00854AED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77241D">
        <w:rPr>
          <w:rFonts w:ascii="TimesNewRomanPSMT" w:hAnsi="TimesNewRomanPSMT"/>
          <w:color w:val="000000"/>
          <w:szCs w:val="28"/>
          <w:lang w:val="kk-KZ"/>
        </w:rPr>
        <w:t>Инфрақұрылымдық активтер</w:t>
      </w:r>
      <w:r>
        <w:rPr>
          <w:rFonts w:ascii="TimesNewRomanPSMT" w:hAnsi="TimesNewRomanPSMT"/>
          <w:color w:val="000000"/>
          <w:szCs w:val="28"/>
          <w:lang w:val="kk-KZ"/>
        </w:rPr>
        <w:t>ге не жатады?</w:t>
      </w:r>
    </w:p>
    <w:p w14:paraId="5D93DC2A" w14:textId="77777777" w:rsidR="00854AED" w:rsidRPr="0077241D" w:rsidRDefault="00854AED" w:rsidP="00854AED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77241D">
        <w:rPr>
          <w:rFonts w:ascii="TimesNewRomanPSMT" w:hAnsi="TimesNewRomanPSMT"/>
          <w:color w:val="000000"/>
          <w:szCs w:val="28"/>
          <w:lang w:val="kk-KZ"/>
        </w:rPr>
        <w:t>Мойындау кезіндегі бағалау</w:t>
      </w:r>
    </w:p>
    <w:p w14:paraId="0C7219CB" w14:textId="77777777" w:rsidR="00854AED" w:rsidRPr="006F2D89" w:rsidRDefault="00854AED" w:rsidP="00854AED">
      <w:pPr>
        <w:pStyle w:val="1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lang w:val="kk-KZ"/>
        </w:rPr>
      </w:pPr>
      <w:r w:rsidRPr="006F2D89">
        <w:rPr>
          <w:rFonts w:ascii="TimesNewRomanPSMT" w:hAnsi="TimesNewRomanPSMT"/>
          <w:color w:val="000000"/>
          <w:szCs w:val="28"/>
          <w:lang w:val="kk-KZ"/>
        </w:rPr>
        <w:t>Өтемпұлданатын құн жəне өтемпұлдау мерзімі</w:t>
      </w:r>
    </w:p>
    <w:p w14:paraId="10542EC1" w14:textId="77777777" w:rsidR="00854AED" w:rsidRPr="006F2D89" w:rsidRDefault="00854AED" w:rsidP="00854AED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6F2D89">
        <w:rPr>
          <w:rFonts w:ascii="TimesNewRomanPSMT" w:hAnsi="TimesNewRomanPSMT"/>
          <w:color w:val="000000"/>
          <w:szCs w:val="28"/>
          <w:lang w:val="kk-KZ"/>
        </w:rPr>
        <w:t>Теңгерімнен есептен шығару</w:t>
      </w:r>
    </w:p>
    <w:p w14:paraId="72BF62C1" w14:textId="77777777" w:rsidR="00CB0C24" w:rsidRDefault="00CB0C24"/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83A95"/>
    <w:multiLevelType w:val="hybridMultilevel"/>
    <w:tmpl w:val="35A2EC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3408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1E"/>
    <w:rsid w:val="003C341E"/>
    <w:rsid w:val="003E4FE7"/>
    <w:rsid w:val="00854AED"/>
    <w:rsid w:val="008E7D03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448B7-6A11-4A1A-AD44-C4134BEC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4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4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4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4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4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4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3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3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3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34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34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34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3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34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341E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интервала1"/>
    <w:rsid w:val="00854AED"/>
    <w:pPr>
      <w:spacing w:after="0" w:line="240" w:lineRule="auto"/>
    </w:pPr>
    <w:rPr>
      <w:rFonts w:ascii="Arial" w:eastAsia="Calibri" w:hAnsi="Arial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2</cp:revision>
  <dcterms:created xsi:type="dcterms:W3CDTF">2024-10-28T04:09:00Z</dcterms:created>
  <dcterms:modified xsi:type="dcterms:W3CDTF">2024-10-28T04:09:00Z</dcterms:modified>
</cp:coreProperties>
</file>