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B1D42" w14:textId="77777777" w:rsidR="009E0763" w:rsidRDefault="009E0763" w:rsidP="009E0763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4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331930">
        <w:rPr>
          <w:rFonts w:ascii="TimesNewRomanPSMT" w:hAnsi="TimesNewRomanPSMT"/>
          <w:color w:val="000000"/>
          <w:szCs w:val="28"/>
          <w:lang w:val="kk-KZ"/>
        </w:rPr>
        <w:t>Сақтаулы қорлар</w:t>
      </w:r>
    </w:p>
    <w:p w14:paraId="2DBE5773" w14:textId="77777777" w:rsidR="009E0763" w:rsidRDefault="009E0763" w:rsidP="009E0763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7A2DB4E2" w14:textId="77777777" w:rsidR="009E0763" w:rsidRDefault="009E0763" w:rsidP="009E0763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331930">
        <w:rPr>
          <w:rFonts w:ascii="TimesNewRomanPSMT" w:hAnsi="TimesNewRomanPSMT"/>
          <w:color w:val="000000"/>
          <w:szCs w:val="28"/>
          <w:lang w:val="kk-KZ"/>
        </w:rPr>
        <w:t xml:space="preserve">сақтаулы қорлар есебінің тəртібі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468147B3" w14:textId="77777777" w:rsidR="009E0763" w:rsidRDefault="009E0763" w:rsidP="009E0763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68A872C5" w14:textId="77777777" w:rsidR="009E0763" w:rsidRDefault="009E0763" w:rsidP="009E0763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2147DA1E" w14:textId="77777777" w:rsidR="009E0763" w:rsidRPr="0014336B" w:rsidRDefault="009E0763" w:rsidP="009E0763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Қорлардың т</w:t>
      </w:r>
      <w:r w:rsidRPr="00331930">
        <w:rPr>
          <w:rFonts w:ascii="TimesNewRomanPS-BoldMT" w:hAnsi="TimesNewRomanPS-BoldMT"/>
          <w:bCs/>
          <w:color w:val="000000"/>
          <w:szCs w:val="28"/>
          <w:lang w:val="kk-KZ"/>
        </w:rPr>
        <w:t>аза өткізу құны</w:t>
      </w:r>
    </w:p>
    <w:p w14:paraId="5C876F9D" w14:textId="77777777" w:rsidR="009E0763" w:rsidRPr="0014336B" w:rsidRDefault="009E0763" w:rsidP="009E0763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331930">
        <w:rPr>
          <w:rFonts w:ascii="TimesNewRomanPS-BoldMT" w:hAnsi="TimesNewRomanPS-BoldMT"/>
          <w:bCs/>
          <w:color w:val="000000"/>
          <w:szCs w:val="28"/>
          <w:lang w:val="kk-KZ"/>
        </w:rPr>
        <w:t>Қорларды бағалау</w:t>
      </w:r>
    </w:p>
    <w:p w14:paraId="52D1B526" w14:textId="77777777" w:rsidR="009E0763" w:rsidRPr="0014336B" w:rsidRDefault="009E0763" w:rsidP="009E0763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331930">
        <w:rPr>
          <w:rFonts w:ascii="TimesNewRomanPS-BoldMT" w:hAnsi="TimesNewRomanPS-BoldMT"/>
          <w:bCs/>
          <w:color w:val="000000"/>
          <w:szCs w:val="28"/>
          <w:lang w:val="kk-KZ"/>
        </w:rPr>
        <w:t>Алуға жұмсалған шығындар</w:t>
      </w:r>
    </w:p>
    <w:p w14:paraId="521F47D9" w14:textId="77777777" w:rsidR="009E0763" w:rsidRPr="0014336B" w:rsidRDefault="009E0763" w:rsidP="009E0763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4. </w:t>
      </w:r>
      <w:r w:rsidRPr="00331930">
        <w:rPr>
          <w:rFonts w:ascii="TimesNewRomanPS-BoldMT" w:hAnsi="TimesNewRomanPS-BoldMT"/>
          <w:bCs/>
          <w:color w:val="000000"/>
          <w:szCs w:val="28"/>
          <w:lang w:val="kk-KZ"/>
        </w:rPr>
        <w:t xml:space="preserve">Қайта өңдеуге жұмсалған шығындар </w:t>
      </w:r>
    </w:p>
    <w:p w14:paraId="15142FE5" w14:textId="77777777" w:rsidR="009E0763" w:rsidRPr="00AC677A" w:rsidRDefault="009E0763" w:rsidP="009E0763">
      <w:pPr>
        <w:pStyle w:val="11"/>
        <w:ind w:left="720"/>
        <w:jc w:val="both"/>
        <w:rPr>
          <w:rFonts w:ascii="TimesNewRomanPSMT" w:hAnsi="TimesNewRomanPSMT"/>
          <w:color w:val="000000"/>
          <w:szCs w:val="28"/>
          <w:lang w:val="kk-KZ"/>
        </w:rPr>
      </w:pPr>
    </w:p>
    <w:p w14:paraId="427E126C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Осы Стандарттың мақсаты сақтаулы қорлар есебінің тәртібін бекіту болып табылады.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Қорлар есебінің негізгі мәселесі құндылықтар жиынтығы ретінде мойындалған шығынға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жататын және алдағы есепке осы ретте тиісті пайдаларды мойындағанға дейінгі шығын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мөлшерін анықтау болып табылады. Осы Стандарт шығындарды анықтау және оларды таза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өткізу бағасы мөлшеріне дейін құнның кез-келген кемуін қоса отырып, келесі шығындар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ретінде мойындау бойынша іс жүзіндегі нұсқаулық болып табылады. Ол сондай-ақ,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қорлардың өзіндік құнын анықтау үшін қолданылатын шығындарды есептеу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формулаларыжөнінде нұсқауларды қамтиды.</w:t>
      </w:r>
    </w:p>
    <w:p w14:paraId="799595D8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Қолдану аясы. Есептеу әдісі бойынша қаржылық есептілікті құраушы субъект және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оның өкілі болып табылатын субъект осы Стандартты қор есебін алуда мыналарды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қоспағанда пайдалануы қажет:</w:t>
      </w:r>
    </w:p>
    <w:p w14:paraId="7AA26CC9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a) Құрылыс салуға жасалған, келісімшартты орындау үрдісінде оның ішінде қызмет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көрсетуге жасалған келісімшартпен тығыз байланысты туындап, аяқталмаған жұмыстарды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(«Құрылыс келісімшарттары» 11 ҚС ХҚЕС қараңыз);</w:t>
      </w:r>
    </w:p>
    <w:p w14:paraId="44345BD2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b) Қаржы құралдары («Қаржы құралдары: ақпарат ұсыну, 28 ҚС ХҚЕС , «Қаржы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құралдары: мойындау жəне бағалау», 29 ҚС ХҚЕС );</w:t>
      </w:r>
    </w:p>
    <w:p w14:paraId="27B36A6C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c) Ауылшаруашылық қызмет пен өнімді жинау кезеңіндегі ауылшаруашылық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өнімдермен байланысты биологиялық құндылықтар жиынтығы;</w:t>
      </w:r>
    </w:p>
    <w:p w14:paraId="290670A0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d) Қызмет көрсету бойынша тікелей алушылардан қайтарымсыз мүмкіндік жасалған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немесе нақты қайтарымсыз аяқталмаған жұмыстар.</w:t>
      </w:r>
    </w:p>
    <w:p w14:paraId="771B7739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Басқа ҚС ХҚЕС берілген анықтамалар, терминдер осы Cтандартта басқа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стандарттағылардай мағынада қолданылады және жеке жарияланған терминдер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глоссарийінде көрсетілген.</w:t>
      </w:r>
    </w:p>
    <w:p w14:paraId="73B9C263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Таза өткізу құны. Субъект әдеттегі қызметі барысында қорларды сату нәтижесінде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түсіруді болжайтын таза қаражат жиынтығы таза өткізу құны болып тұспалданады. Шын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мәніндегі құн осы қордың нарықта хабардар және қызығушылық танытқан сатушылар 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сатып алушылар арасында алмастырылуы мүмкін ақшалай қаражаттың жиынтығын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көрсетеді. Бірінші жағдайда құн нақты субъектінің өзгешелігін көрсетеді, ал екіншісінде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көрсетпейді. Қордың таза өткізу құны сатуға шығын шығарылып тасталған әділ құнымен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сай келмеуі де мүмкін.</w:t>
      </w:r>
    </w:p>
    <w:p w14:paraId="38633365" w14:textId="77777777" w:rsidR="009E0763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lastRenderedPageBreak/>
        <w:t>Сақтаулы қорлар. Қайта сатуға арналып алынған тауарлар қорларға жатады. Оларға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мысалы тұлға сатуға арнап алған сатылатын жер немесе басқа заттар сияқты тауарлар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жатады.Тауарларға тағы да тұлға өндірген шикізатпен қоса өндіріс үрдісінде</w:t>
      </w:r>
      <w:r>
        <w:rPr>
          <w:rFonts w:ascii="Times New Roman" w:hAnsi="Times New Roman"/>
          <w:szCs w:val="28"/>
          <w:lang w:val="kk-KZ"/>
        </w:rPr>
        <w:t>:</w:t>
      </w:r>
    </w:p>
    <w:p w14:paraId="50B78507" w14:textId="77777777" w:rsidR="009E0763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а) ары қарай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 xml:space="preserve">қолданылатын материалдар, дайын </w:t>
      </w:r>
    </w:p>
    <w:p w14:paraId="2B77477E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б) дайындығы бітпеген өнімдер, сол сияқты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тұлға алған, немесе өндірген, басқа тараптарға қайтарымсыз немесе нақты бағамен беруге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арналған тауарлар, мысалы, денсаулық сақтау органдары сыйлық ретінде мектептерге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беруге арнап шығарған оқулықтар кіреді. Қоғамдық сектордың көптеген тұлғаларында көп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дәрежеде қызмет көрсетуге, немесе қайта сатуға арналған тауармен немесе сату үшін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өндірілген тауармен қатынас болады.</w:t>
      </w:r>
    </w:p>
    <w:p w14:paraId="19FE8079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Қорларды бағалау. Қорлар алмастырылмайтын әрекеттердің араласуымен алынғанда,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олардың құны алынған мерзімдегі шын мәніндегі құнмен бағалануы керек. Қорлар өзіндік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құнның неғұрлым аз мөлшерімен бағалануы керек және алмастырудың ағымдағы бағасы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тек мыналарға арналған жағдайда:</w:t>
      </w:r>
    </w:p>
    <w:p w14:paraId="53935150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a) Қайтарымсыз беру немесе нақты бағамен беру;</w:t>
      </w:r>
    </w:p>
    <w:p w14:paraId="55A33C1C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b) Тауарларды қайтарымсыз беруге немесе нақты бағамен беруге өндіру үрдісінде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тұтыну.</w:t>
      </w:r>
    </w:p>
    <w:p w14:paraId="7245D409" w14:textId="77777777" w:rsidR="009E0763" w:rsidRPr="00D17772" w:rsidRDefault="009E0763" w:rsidP="009E0763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D17772">
        <w:rPr>
          <w:rFonts w:ascii="Times New Roman" w:hAnsi="Times New Roman"/>
          <w:szCs w:val="28"/>
          <w:lang w:val="kk-KZ"/>
        </w:rPr>
        <w:t>Қорлардың өзіндік құны. Қорлардың өзіндік құнына алуға, қайта өңдеуге жұмсалған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шығынды және ағымдағы тұратын жермен қамтамасыз етуге және қорлардың жағдайын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жасауға жұмсалған басқа да шығындарды кіргізу керек. Қорлардың жеке бөлімдерінің өзара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алмастырылмайтын болып табылатын өзіндік құны, сол сияқты арнайы жобаларға арнап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өндірілген тауарлар немесе қызметтер арнайы өзгеше сәйкестендірілген жеке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D17772">
        <w:rPr>
          <w:rFonts w:ascii="Times New Roman" w:hAnsi="Times New Roman"/>
          <w:szCs w:val="28"/>
          <w:lang w:val="kk-KZ"/>
        </w:rPr>
        <w:t>шығындармен анықталуы керек.</w:t>
      </w:r>
    </w:p>
    <w:p w14:paraId="7BE4639D" w14:textId="77777777" w:rsidR="009E0763" w:rsidRDefault="009E0763" w:rsidP="009E0763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03CE721A" w14:textId="77777777" w:rsidR="009E0763" w:rsidRDefault="009E0763" w:rsidP="009E0763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21FC10DC" w14:textId="77777777" w:rsidR="009E0763" w:rsidRDefault="009E0763" w:rsidP="009E0763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5E1F915A" w14:textId="77777777" w:rsidR="009E0763" w:rsidRPr="00613BF6" w:rsidRDefault="009E0763" w:rsidP="009E0763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613BF6">
        <w:rPr>
          <w:rFonts w:ascii="TimesNewRomanPSMT" w:hAnsi="TimesNewRomanPSMT"/>
          <w:color w:val="000000"/>
          <w:szCs w:val="28"/>
          <w:lang w:val="kk-KZ"/>
        </w:rPr>
        <w:t>Қызмет көрсетуші субъект қорларының өзіндік құны</w:t>
      </w:r>
    </w:p>
    <w:p w14:paraId="7C1803D5" w14:textId="77777777" w:rsidR="009E0763" w:rsidRPr="00613BF6" w:rsidRDefault="009E0763" w:rsidP="009E0763">
      <w:pPr>
        <w:pStyle w:val="11"/>
        <w:numPr>
          <w:ilvl w:val="0"/>
          <w:numId w:val="1"/>
        </w:numPr>
        <w:ind w:left="993" w:hanging="284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613BF6">
        <w:rPr>
          <w:rFonts w:ascii="TimesNewRomanPSMT" w:hAnsi="TimesNewRomanPSMT"/>
          <w:color w:val="000000"/>
          <w:szCs w:val="28"/>
          <w:lang w:val="kk-KZ"/>
        </w:rPr>
        <w:t>Өзіндік құнды анықтау əдістері</w:t>
      </w:r>
    </w:p>
    <w:p w14:paraId="4057EFED" w14:textId="77777777" w:rsidR="009E0763" w:rsidRPr="00613BF6" w:rsidRDefault="009E0763" w:rsidP="009E0763">
      <w:pPr>
        <w:pStyle w:val="11"/>
        <w:numPr>
          <w:ilvl w:val="0"/>
          <w:numId w:val="1"/>
        </w:numPr>
        <w:ind w:left="993" w:hanging="284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613BF6">
        <w:rPr>
          <w:rFonts w:ascii="TimesNewRomanPSMT" w:hAnsi="TimesNewRomanPSMT"/>
          <w:color w:val="000000"/>
          <w:szCs w:val="28"/>
          <w:lang w:val="kk-KZ"/>
        </w:rPr>
        <w:t>Қорлардың өзіндік құнын есептеу формулалары</w:t>
      </w:r>
    </w:p>
    <w:p w14:paraId="089C2028" w14:textId="77777777" w:rsidR="009E0763" w:rsidRDefault="009E0763" w:rsidP="009E0763">
      <w:pPr>
        <w:pStyle w:val="11"/>
        <w:numPr>
          <w:ilvl w:val="0"/>
          <w:numId w:val="1"/>
        </w:numPr>
        <w:ind w:left="993" w:hanging="284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613BF6">
        <w:rPr>
          <w:rFonts w:ascii="TimesNewRomanPSMT" w:hAnsi="TimesNewRomanPSMT"/>
          <w:color w:val="000000"/>
          <w:szCs w:val="28"/>
          <w:lang w:val="kk-KZ"/>
        </w:rPr>
        <w:t>Тауарларды қайтарымсыз немесе нақты бағамен беру</w:t>
      </w:r>
    </w:p>
    <w:p w14:paraId="688A55D4" w14:textId="77777777" w:rsidR="009E0763" w:rsidRPr="00035B70" w:rsidRDefault="009E0763" w:rsidP="009E0763">
      <w:pPr>
        <w:pStyle w:val="11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b/>
          <w:sz w:val="24"/>
          <w:lang w:val="kk-KZ"/>
        </w:rPr>
      </w:pPr>
      <w:r w:rsidRPr="00613BF6">
        <w:rPr>
          <w:rFonts w:ascii="TimesNewRomanPSMT" w:hAnsi="TimesNewRomanPSMT"/>
          <w:color w:val="000000"/>
          <w:szCs w:val="28"/>
          <w:lang w:val="kk-KZ"/>
        </w:rPr>
        <w:t>Шығын сапасын мойындау</w:t>
      </w:r>
    </w:p>
    <w:p w14:paraId="734ABD20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E001B"/>
    <w:multiLevelType w:val="hybridMultilevel"/>
    <w:tmpl w:val="AD86621E"/>
    <w:lvl w:ilvl="0" w:tplc="6E00847E">
      <w:start w:val="1"/>
      <w:numFmt w:val="decimal"/>
      <w:lvlText w:val="%1."/>
      <w:lvlJc w:val="left"/>
      <w:pPr>
        <w:ind w:left="1579" w:hanging="360"/>
      </w:pPr>
      <w:rPr>
        <w:rFonts w:ascii="TimesNewRomanPS-BoldMT" w:hAnsi="TimesNewRomanPS-BoldMT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num w:numId="1" w16cid:durableId="9869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1B"/>
    <w:rsid w:val="003E4FE7"/>
    <w:rsid w:val="00464B1B"/>
    <w:rsid w:val="008E7D03"/>
    <w:rsid w:val="009E0763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8F06F-CA22-48E3-86F4-74FEF607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4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4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4B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4B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4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4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4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4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4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4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4B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4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4B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4B1B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9E0763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2024-10-28T04:08:00Z</dcterms:created>
  <dcterms:modified xsi:type="dcterms:W3CDTF">2024-10-28T04:08:00Z</dcterms:modified>
</cp:coreProperties>
</file>