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83545" w14:textId="77777777" w:rsidR="004B5902" w:rsidRDefault="004B5902" w:rsidP="004B5902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Тақырып </w:t>
      </w:r>
      <w:r>
        <w:rPr>
          <w:rFonts w:ascii="TimesNewRomanPS-BoldMT" w:hAnsi="TimesNewRomanPS-BoldMT"/>
          <w:b/>
          <w:bCs/>
          <w:color w:val="000000"/>
          <w:szCs w:val="28"/>
          <w:lang w:val="kk-KZ"/>
        </w:rPr>
        <w:t>3</w:t>
      </w: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. </w:t>
      </w:r>
      <w:r w:rsidRPr="009A2CC2">
        <w:rPr>
          <w:rFonts w:ascii="TimesNewRomanPSMT" w:hAnsi="TimesNewRomanPSMT"/>
          <w:color w:val="000000"/>
          <w:szCs w:val="28"/>
          <w:lang w:val="kk-KZ"/>
        </w:rPr>
        <w:t>Валюталық бағам өзгерістерінің ықпалы</w:t>
      </w:r>
    </w:p>
    <w:p w14:paraId="6C206F48" w14:textId="77777777" w:rsidR="004B5902" w:rsidRDefault="004B5902" w:rsidP="004B5902">
      <w:pPr>
        <w:pStyle w:val="11"/>
        <w:ind w:firstLine="709"/>
        <w:jc w:val="both"/>
        <w:rPr>
          <w:rFonts w:ascii="TimesNewRomanPS-BoldItalicMT" w:hAnsi="TimesNewRomanPS-BoldItalicMT"/>
          <w:b/>
          <w:bCs/>
          <w:i/>
          <w:iCs/>
          <w:color w:val="000000"/>
          <w:szCs w:val="28"/>
          <w:lang w:val="kk-KZ"/>
        </w:rPr>
      </w:pPr>
    </w:p>
    <w:p w14:paraId="335A077B" w14:textId="77777777" w:rsidR="004B5902" w:rsidRDefault="004B5902" w:rsidP="004B5902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ItalicMT" w:hAnsi="TimesNewRomanPS-BoldItalicMT"/>
          <w:b/>
          <w:bCs/>
          <w:i/>
          <w:iCs/>
          <w:color w:val="000000"/>
          <w:szCs w:val="28"/>
          <w:lang w:val="kk-KZ"/>
        </w:rPr>
        <w:t xml:space="preserve">Дәрістің мақсаты: </w:t>
      </w:r>
      <w:r>
        <w:rPr>
          <w:rFonts w:ascii="TimesNewRomanPSMT" w:hAnsi="TimesNewRomanPSMT"/>
          <w:color w:val="000000"/>
          <w:szCs w:val="28"/>
          <w:lang w:val="kk-KZ"/>
        </w:rPr>
        <w:t>в</w:t>
      </w:r>
      <w:r w:rsidRPr="009A2CC2">
        <w:rPr>
          <w:rFonts w:ascii="TimesNewRomanPSMT" w:hAnsi="TimesNewRomanPSMT"/>
          <w:color w:val="000000"/>
          <w:szCs w:val="28"/>
          <w:lang w:val="kk-KZ"/>
        </w:rPr>
        <w:t xml:space="preserve">алюталық бағам өзгерістерінің ықпалы </w:t>
      </w:r>
      <w:r>
        <w:rPr>
          <w:rFonts w:ascii="TimesNewRomanPSMT" w:hAnsi="TimesNewRomanPSMT"/>
          <w:color w:val="000000"/>
          <w:szCs w:val="28"/>
          <w:lang w:val="kk-KZ"/>
        </w:rPr>
        <w:t>жайлы түсінік беру</w:t>
      </w:r>
    </w:p>
    <w:p w14:paraId="1FDDC9EF" w14:textId="77777777" w:rsidR="004B5902" w:rsidRDefault="004B5902" w:rsidP="004B5902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</w:p>
    <w:p w14:paraId="1A989DE8" w14:textId="77777777" w:rsidR="004B5902" w:rsidRDefault="004B5902" w:rsidP="004B5902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>Дәріс сабағының жоспары</w:t>
      </w:r>
    </w:p>
    <w:p w14:paraId="6BEE9D14" w14:textId="77777777" w:rsidR="004B5902" w:rsidRPr="0014336B" w:rsidRDefault="004B5902" w:rsidP="004B5902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>1.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C51450">
        <w:rPr>
          <w:rFonts w:ascii="TimesNewRomanPS-BoldMT" w:hAnsi="TimesNewRomanPS-BoldMT"/>
          <w:bCs/>
          <w:color w:val="000000"/>
          <w:szCs w:val="28"/>
          <w:lang w:val="kk-KZ"/>
        </w:rPr>
        <w:t>Атқарымдық (бернелік) валюта</w:t>
      </w:r>
    </w:p>
    <w:p w14:paraId="3C0CF344" w14:textId="77777777" w:rsidR="004B5902" w:rsidRPr="0014336B" w:rsidRDefault="004B5902" w:rsidP="004B5902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 xml:space="preserve">2. </w:t>
      </w:r>
      <w:r w:rsidRPr="00C51450">
        <w:rPr>
          <w:rFonts w:ascii="TimesNewRomanPS-BoldMT" w:hAnsi="TimesNewRomanPS-BoldMT"/>
          <w:bCs/>
          <w:color w:val="000000"/>
          <w:szCs w:val="28"/>
          <w:lang w:val="kk-KZ"/>
        </w:rPr>
        <w:t>Монетарлық баптар</w:t>
      </w:r>
    </w:p>
    <w:p w14:paraId="57DD39DD" w14:textId="77777777" w:rsidR="004B5902" w:rsidRPr="0014336B" w:rsidRDefault="004B5902" w:rsidP="004B5902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 xml:space="preserve">3. </w:t>
      </w:r>
      <w:r w:rsidRPr="00C51450">
        <w:rPr>
          <w:rFonts w:ascii="TimesNewRomanPS-BoldMT" w:hAnsi="TimesNewRomanPS-BoldMT"/>
          <w:bCs/>
          <w:color w:val="000000"/>
          <w:szCs w:val="28"/>
          <w:lang w:val="kk-KZ"/>
        </w:rPr>
        <w:t>Шетелдік бөлімшеге таза инвестициялар</w:t>
      </w:r>
    </w:p>
    <w:p w14:paraId="5D01BC09" w14:textId="77777777" w:rsidR="004B5902" w:rsidRPr="0014336B" w:rsidRDefault="004B5902" w:rsidP="004B5902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 xml:space="preserve">4. </w:t>
      </w:r>
      <w:r w:rsidRPr="00C51450">
        <w:rPr>
          <w:rFonts w:ascii="TimesNewRomanPS-BoldMT" w:hAnsi="TimesNewRomanPS-BoldMT"/>
          <w:bCs/>
          <w:color w:val="000000"/>
          <w:szCs w:val="28"/>
          <w:lang w:val="kk-KZ"/>
        </w:rPr>
        <w:t>Шетел валютасындағы операциялардың атқарымдық валютадағы көрінісі</w:t>
      </w:r>
    </w:p>
    <w:p w14:paraId="26977C90" w14:textId="77777777" w:rsidR="004B5902" w:rsidRPr="00AC677A" w:rsidRDefault="004B5902" w:rsidP="004B5902">
      <w:pPr>
        <w:pStyle w:val="11"/>
        <w:ind w:left="720"/>
        <w:jc w:val="both"/>
        <w:rPr>
          <w:rFonts w:ascii="TimesNewRomanPSMT" w:hAnsi="TimesNewRomanPSMT"/>
          <w:color w:val="000000"/>
          <w:szCs w:val="28"/>
          <w:lang w:val="kk-KZ"/>
        </w:rPr>
      </w:pPr>
    </w:p>
    <w:p w14:paraId="1C926B3E" w14:textId="77777777" w:rsidR="004B5902" w:rsidRDefault="004B5902" w:rsidP="004B5902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6A23A5">
        <w:rPr>
          <w:rFonts w:ascii="Times New Roman" w:hAnsi="Times New Roman"/>
          <w:szCs w:val="28"/>
          <w:lang w:val="kk-KZ"/>
        </w:rPr>
        <w:t>Субъект валюталық операцияларды екі жолмен жасай алады. Ол операцияларды шетел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6A23A5">
        <w:rPr>
          <w:rFonts w:ascii="Times New Roman" w:hAnsi="Times New Roman"/>
          <w:szCs w:val="28"/>
          <w:lang w:val="kk-KZ"/>
        </w:rPr>
        <w:t>валютасында жүзеге асыра алады немесе шетелдік бөлімшені иелене алады. Сонымен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6A23A5">
        <w:rPr>
          <w:rFonts w:ascii="Times New Roman" w:hAnsi="Times New Roman"/>
          <w:szCs w:val="28"/>
          <w:lang w:val="kk-KZ"/>
        </w:rPr>
        <w:t>қатар, субъект қаржылық есептілігін шетел валютасында ұсына алады. Осы Стандарттың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6A23A5">
        <w:rPr>
          <w:rFonts w:ascii="Times New Roman" w:hAnsi="Times New Roman"/>
          <w:szCs w:val="28"/>
          <w:lang w:val="kk-KZ"/>
        </w:rPr>
        <w:t>мақсаты шетел валютасындағы операцияларды жəне шетел бөлімшелерін субъектінің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6A23A5">
        <w:rPr>
          <w:rFonts w:ascii="Times New Roman" w:hAnsi="Times New Roman"/>
          <w:szCs w:val="28"/>
          <w:lang w:val="kk-KZ"/>
        </w:rPr>
        <w:t>қаржылық есептілігіне қалайша енгізуге жəне қаржылық есептілікті есептілікті ұсыну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6A23A5">
        <w:rPr>
          <w:rFonts w:ascii="Times New Roman" w:hAnsi="Times New Roman"/>
          <w:szCs w:val="28"/>
          <w:lang w:val="kk-KZ"/>
        </w:rPr>
        <w:t>валютасына қалай ауыстыруға болатынын анықтау.</w:t>
      </w:r>
    </w:p>
    <w:p w14:paraId="3828F594" w14:textId="77777777" w:rsidR="004B5902" w:rsidRDefault="004B5902" w:rsidP="004B5902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756221">
        <w:rPr>
          <w:rFonts w:ascii="Times New Roman" w:hAnsi="Times New Roman"/>
          <w:szCs w:val="28"/>
          <w:lang w:val="kk-KZ"/>
        </w:rPr>
        <w:t xml:space="preserve">Бұл орайдағы негізгі мəселелер: </w:t>
      </w:r>
    </w:p>
    <w:p w14:paraId="1661F041" w14:textId="77777777" w:rsidR="004B5902" w:rsidRDefault="004B5902" w:rsidP="004B5902">
      <w:pPr>
        <w:pStyle w:val="1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Cs w:val="28"/>
          <w:lang w:val="kk-KZ"/>
        </w:rPr>
      </w:pPr>
      <w:r w:rsidRPr="00756221">
        <w:rPr>
          <w:rFonts w:ascii="Times New Roman" w:hAnsi="Times New Roman"/>
          <w:szCs w:val="28"/>
          <w:lang w:val="kk-KZ"/>
        </w:rPr>
        <w:t xml:space="preserve">a) қандай айырбас бағамын (қандай бағамдарды) қолдану </w:t>
      </w:r>
    </w:p>
    <w:p w14:paraId="464ABE03" w14:textId="77777777" w:rsidR="004B5902" w:rsidRDefault="004B5902" w:rsidP="004B5902">
      <w:pPr>
        <w:pStyle w:val="1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Cs w:val="28"/>
          <w:lang w:val="kk-KZ"/>
        </w:rPr>
      </w:pPr>
      <w:r w:rsidRPr="00756221">
        <w:rPr>
          <w:rFonts w:ascii="Times New Roman" w:hAnsi="Times New Roman"/>
          <w:szCs w:val="28"/>
          <w:lang w:val="kk-KZ"/>
        </w:rPr>
        <w:t>b) қаржылық есептіліктегі айырбас бағамы өзгерістерінің ықпалын қалай көрсету.</w:t>
      </w:r>
    </w:p>
    <w:p w14:paraId="3C684F1C" w14:textId="77777777" w:rsidR="004B5902" w:rsidRPr="00756221" w:rsidRDefault="004B5902" w:rsidP="004B5902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5917F8">
        <w:rPr>
          <w:rFonts w:ascii="Times New Roman" w:hAnsi="Times New Roman"/>
          <w:szCs w:val="28"/>
          <w:lang w:val="kk-KZ"/>
        </w:rPr>
        <w:t xml:space="preserve">Есептеу əдісін қолданып, қаржылық есептілікті əзірлеп, ұсынатын субъект төмендегідей </w:t>
      </w:r>
      <w:r>
        <w:rPr>
          <w:rFonts w:ascii="Times New Roman" w:hAnsi="Times New Roman"/>
          <w:szCs w:val="28"/>
          <w:lang w:val="kk-KZ"/>
        </w:rPr>
        <w:t>бол</w:t>
      </w:r>
      <w:r w:rsidRPr="005917F8">
        <w:rPr>
          <w:rFonts w:ascii="Times New Roman" w:hAnsi="Times New Roman"/>
          <w:szCs w:val="28"/>
          <w:lang w:val="kk-KZ"/>
        </w:rPr>
        <w:t>уы тиіс:</w:t>
      </w:r>
    </w:p>
    <w:p w14:paraId="08AFACBB" w14:textId="77777777" w:rsidR="004B5902" w:rsidRPr="005917F8" w:rsidRDefault="004B5902" w:rsidP="004B5902">
      <w:pPr>
        <w:pStyle w:val="11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Cs w:val="28"/>
          <w:lang w:val="kk-KZ"/>
        </w:rPr>
      </w:pPr>
      <w:r w:rsidRPr="005917F8">
        <w:rPr>
          <w:rFonts w:ascii="Times New Roman" w:hAnsi="Times New Roman"/>
          <w:szCs w:val="28"/>
          <w:lang w:val="kk-KZ"/>
        </w:rPr>
        <w:t>a) «Қаржы құралдары: мойындау мен бағалау» 29 ҚСҚЕХС қолдану аясына кіретін, туынды құралдар мен олардың қалдықтарымен болатын операцияларды қоспағанда, шетел валютасындағы операциялар мен қалдықтарды есептеу үшін;</w:t>
      </w:r>
    </w:p>
    <w:p w14:paraId="56824751" w14:textId="77777777" w:rsidR="004B5902" w:rsidRPr="005917F8" w:rsidRDefault="004B5902" w:rsidP="004B5902">
      <w:pPr>
        <w:pStyle w:val="11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Cs w:val="28"/>
          <w:lang w:val="kk-KZ"/>
        </w:rPr>
      </w:pPr>
      <w:r w:rsidRPr="005917F8">
        <w:rPr>
          <w:rFonts w:ascii="Times New Roman" w:hAnsi="Times New Roman"/>
          <w:szCs w:val="28"/>
          <w:lang w:val="kk-KZ"/>
        </w:rPr>
        <w:t>b) Субъектінің қаржылық есептілігіне енгізілген шетел бөлімшесінің қаржылық қызметі мен қаржылық жағдайының нəтижелерін шоғырландыру, үйлесімді шоғырланым немесе үлестік қатысу əдісі арқылы ауыстыру үшін;</w:t>
      </w:r>
    </w:p>
    <w:p w14:paraId="5EF6CFE8" w14:textId="77777777" w:rsidR="004B5902" w:rsidRPr="005917F8" w:rsidRDefault="004B5902" w:rsidP="004B5902">
      <w:pPr>
        <w:pStyle w:val="11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Cs w:val="28"/>
          <w:lang w:val="kk-KZ"/>
        </w:rPr>
      </w:pPr>
      <w:r w:rsidRPr="005917F8">
        <w:rPr>
          <w:rFonts w:ascii="Times New Roman" w:hAnsi="Times New Roman"/>
          <w:szCs w:val="28"/>
          <w:lang w:val="kk-KZ"/>
        </w:rPr>
        <w:t>c) Субъектінің қаржылық қызметі мен қаржылық жағдайының нəтижелерін есептілікті ұсыну валютасына ауыстыру барысында.</w:t>
      </w:r>
    </w:p>
    <w:p w14:paraId="3D92DD2F" w14:textId="77777777" w:rsidR="004B5902" w:rsidRPr="006A23A5" w:rsidRDefault="004B5902" w:rsidP="004B5902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96759A">
        <w:rPr>
          <w:rFonts w:ascii="Times New Roman" w:hAnsi="Times New Roman"/>
          <w:szCs w:val="28"/>
          <w:lang w:val="kk-KZ"/>
        </w:rPr>
        <w:t>Шетел валютасындағы көптеген туынды құралдарға 29 ҚСҚЕХС қолданылады жəне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96759A">
        <w:rPr>
          <w:rFonts w:ascii="Times New Roman" w:hAnsi="Times New Roman"/>
          <w:szCs w:val="28"/>
          <w:lang w:val="kk-KZ"/>
        </w:rPr>
        <w:t>тиісінше мұндай құралдар осы Стандарттың қолдану аясынан алынып тасталған. Дегенмен,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96759A">
        <w:rPr>
          <w:rFonts w:ascii="Times New Roman" w:hAnsi="Times New Roman"/>
          <w:szCs w:val="28"/>
          <w:lang w:val="kk-KZ"/>
        </w:rPr>
        <w:t>29 ҚСҚЕХС қатысы жоқ шетел валютасындағы туынды құралдар (мысалы, басқа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96759A">
        <w:rPr>
          <w:rFonts w:ascii="Times New Roman" w:hAnsi="Times New Roman"/>
          <w:szCs w:val="28"/>
          <w:lang w:val="kk-KZ"/>
        </w:rPr>
        <w:t>келісімшарттарға кіріктірілген шетел валютасындағы кейбір туынды құралдар) осы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96759A">
        <w:rPr>
          <w:rFonts w:ascii="Times New Roman" w:hAnsi="Times New Roman"/>
          <w:szCs w:val="28"/>
          <w:lang w:val="kk-KZ"/>
        </w:rPr>
        <w:t>Стандарттың қолдану аясына кіреді. Сонымен қатар,, осы Стандарт субъекті туынды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96759A">
        <w:rPr>
          <w:rFonts w:ascii="Times New Roman" w:hAnsi="Times New Roman"/>
          <w:szCs w:val="28"/>
          <w:lang w:val="kk-KZ"/>
        </w:rPr>
        <w:t>құралға жататын сомаларды өзінің атқарымдық валютасынан есептілікті ұсыну валютасына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96759A">
        <w:rPr>
          <w:rFonts w:ascii="Times New Roman" w:hAnsi="Times New Roman"/>
          <w:szCs w:val="28"/>
          <w:lang w:val="kk-KZ"/>
        </w:rPr>
        <w:t>ауыстырған жағдайларда да қолданылады.</w:t>
      </w:r>
    </w:p>
    <w:p w14:paraId="463C2F1D" w14:textId="77777777" w:rsidR="004B5902" w:rsidRDefault="004B5902" w:rsidP="004B5902">
      <w:pPr>
        <w:pStyle w:val="11"/>
        <w:widowControl w:val="0"/>
        <w:ind w:firstLine="709"/>
        <w:jc w:val="both"/>
        <w:rPr>
          <w:rFonts w:ascii="Times New Roman" w:hAnsi="Times New Roman"/>
          <w:szCs w:val="28"/>
          <w:lang w:val="kk-KZ"/>
        </w:rPr>
      </w:pPr>
      <w:r w:rsidRPr="005C5EE3">
        <w:rPr>
          <w:rFonts w:ascii="Times New Roman" w:hAnsi="Times New Roman"/>
          <w:szCs w:val="28"/>
          <w:lang w:val="kk-KZ"/>
        </w:rPr>
        <w:t>Осы Стандарт валюта пункттер үшін хеджирлеу есебіне, оның ішінде шетел қызметіне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C5EE3">
        <w:rPr>
          <w:rFonts w:ascii="Times New Roman" w:hAnsi="Times New Roman"/>
          <w:szCs w:val="28"/>
          <w:lang w:val="kk-KZ"/>
        </w:rPr>
        <w:t>таза инвестицияларды хеджирлеуге қолданылмайды. 29 ҚСҚЕХС хеджирлеу есебіне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C5EE3">
        <w:rPr>
          <w:rFonts w:ascii="Times New Roman" w:hAnsi="Times New Roman"/>
          <w:szCs w:val="28"/>
          <w:lang w:val="kk-KZ"/>
        </w:rPr>
        <w:t>жатады.</w:t>
      </w:r>
    </w:p>
    <w:p w14:paraId="0DE8399D" w14:textId="77777777" w:rsidR="004B5902" w:rsidRDefault="004B5902" w:rsidP="004B5902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073D13">
        <w:rPr>
          <w:rFonts w:ascii="Times New Roman" w:hAnsi="Times New Roman"/>
          <w:szCs w:val="28"/>
          <w:lang w:val="kk-KZ"/>
        </w:rPr>
        <w:lastRenderedPageBreak/>
        <w:t>Осы Стандарт мемлекеттік коммерциялық кəсіпорындардан басқа, барлық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073D13">
        <w:rPr>
          <w:rFonts w:ascii="Times New Roman" w:hAnsi="Times New Roman"/>
          <w:szCs w:val="28"/>
          <w:lang w:val="kk-KZ"/>
        </w:rPr>
        <w:t>қоғамдық сектор субъектілеріне қатысты.</w:t>
      </w:r>
    </w:p>
    <w:p w14:paraId="20F6F9DA" w14:textId="77777777" w:rsidR="004B5902" w:rsidRDefault="004B5902" w:rsidP="004B5902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073D13">
        <w:rPr>
          <w:rFonts w:ascii="Times New Roman" w:hAnsi="Times New Roman"/>
          <w:szCs w:val="28"/>
          <w:lang w:val="kk-KZ"/>
        </w:rPr>
        <w:t>ҚСҚЕХСК жариялаған «Қоғамдық сектор үшін қаржылық есептіліктің халықаралық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073D13">
        <w:rPr>
          <w:rFonts w:ascii="Times New Roman" w:hAnsi="Times New Roman"/>
          <w:szCs w:val="28"/>
          <w:lang w:val="kk-KZ"/>
        </w:rPr>
        <w:t>стандарттарына алғы сөзде» мемлекеттік коммерциялық кəсіпорындар (МКК) ҚЕХСК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073D13">
        <w:rPr>
          <w:rFonts w:ascii="Times New Roman" w:hAnsi="Times New Roman"/>
          <w:szCs w:val="28"/>
          <w:lang w:val="kk-KZ"/>
        </w:rPr>
        <w:t>əзірлеген ҚЕХС қолдануы қажеттігі түсіндіріледі. МКК анықтамасы «Қаржылық есептілікті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073D13">
        <w:rPr>
          <w:rFonts w:ascii="Times New Roman" w:hAnsi="Times New Roman"/>
          <w:szCs w:val="28"/>
          <w:lang w:val="kk-KZ"/>
        </w:rPr>
        <w:t>ұсыну» 1 ҚСҚЕХС берілген</w:t>
      </w:r>
    </w:p>
    <w:p w14:paraId="3DDBF46A" w14:textId="77777777" w:rsidR="004B5902" w:rsidRDefault="004B5902" w:rsidP="004B5902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073D13">
        <w:rPr>
          <w:rFonts w:ascii="Times New Roman" w:hAnsi="Times New Roman"/>
          <w:szCs w:val="28"/>
          <w:lang w:val="kk-KZ"/>
        </w:rPr>
        <w:t>Осы Стандарт субъектінің шетел валютасындағы қаржылық есептілігін ұсыну үшін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073D13">
        <w:rPr>
          <w:rFonts w:ascii="Times New Roman" w:hAnsi="Times New Roman"/>
          <w:szCs w:val="28"/>
          <w:lang w:val="kk-KZ"/>
        </w:rPr>
        <w:t>қолданылады жəне орындалғанда алынған қаржылық есептілік ҚСҚЕХС талаптарына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073D13">
        <w:rPr>
          <w:rFonts w:ascii="Times New Roman" w:hAnsi="Times New Roman"/>
          <w:szCs w:val="28"/>
          <w:lang w:val="kk-KZ"/>
        </w:rPr>
        <w:t>сəйкес деп есептелетін талаптарды бекітеді. Осы Стандарт осы талаптарды орындамай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073D13">
        <w:rPr>
          <w:rFonts w:ascii="Times New Roman" w:hAnsi="Times New Roman"/>
          <w:szCs w:val="28"/>
          <w:lang w:val="kk-KZ"/>
        </w:rPr>
        <w:t>қаржылық ақпаратты шетел валютасына ауыстыру жағдайында ашып көрсетуге жататын</w:t>
      </w:r>
      <w:r>
        <w:rPr>
          <w:rFonts w:ascii="Times New Roman" w:hAnsi="Times New Roman"/>
          <w:szCs w:val="28"/>
          <w:lang w:val="kk-KZ"/>
        </w:rPr>
        <w:t xml:space="preserve">  </w:t>
      </w:r>
      <w:r w:rsidRPr="00073D13">
        <w:rPr>
          <w:rFonts w:ascii="Times New Roman" w:hAnsi="Times New Roman"/>
          <w:szCs w:val="28"/>
          <w:lang w:val="kk-KZ"/>
        </w:rPr>
        <w:t>ақпаратты да анықтайды.</w:t>
      </w:r>
    </w:p>
    <w:p w14:paraId="3A3C66A4" w14:textId="77777777" w:rsidR="004B5902" w:rsidRDefault="004B5902" w:rsidP="004B5902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38189B">
        <w:rPr>
          <w:rFonts w:ascii="Times New Roman" w:hAnsi="Times New Roman"/>
          <w:szCs w:val="28"/>
          <w:lang w:val="kk-KZ"/>
        </w:rPr>
        <w:t>Осы Стандарт шетел валютасында болған операциялардың нəтижесінде туындаған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8189B">
        <w:rPr>
          <w:rFonts w:ascii="Times New Roman" w:hAnsi="Times New Roman"/>
          <w:szCs w:val="28"/>
          <w:lang w:val="kk-KZ"/>
        </w:rPr>
        <w:t>ақшалай қаражат қозғалысы туралы есепте ұсыну барысында, сондай-ақ шетел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8189B">
        <w:rPr>
          <w:rFonts w:ascii="Times New Roman" w:hAnsi="Times New Roman"/>
          <w:szCs w:val="28"/>
          <w:lang w:val="kk-KZ"/>
        </w:rPr>
        <w:t>бөлімшесіндегі ақшалай қаражат ағынын аудару барысында қолданылмайды («Ақшалай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8189B">
        <w:rPr>
          <w:rFonts w:ascii="Times New Roman" w:hAnsi="Times New Roman"/>
          <w:szCs w:val="28"/>
          <w:lang w:val="kk-KZ"/>
        </w:rPr>
        <w:t>қаражат қозғалысы туралы есептер» 2 ҚСҚЕХС қараңыз).</w:t>
      </w:r>
    </w:p>
    <w:p w14:paraId="3A3A7D24" w14:textId="77777777" w:rsidR="004B5902" w:rsidRPr="0038189B" w:rsidRDefault="004B5902" w:rsidP="004B5902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38189B">
        <w:rPr>
          <w:rFonts w:ascii="Times New Roman" w:hAnsi="Times New Roman"/>
          <w:szCs w:val="28"/>
          <w:lang w:val="kk-KZ"/>
        </w:rPr>
        <w:t>Субъект өзінің қызметін жүзеге асыратын негізгі экономикалық орта, əдетте ол өзінің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8189B">
        <w:rPr>
          <w:rFonts w:ascii="Times New Roman" w:hAnsi="Times New Roman"/>
          <w:szCs w:val="28"/>
          <w:lang w:val="kk-KZ"/>
        </w:rPr>
        <w:t>ақшалай қаражатынының негізгі бөлігін туындатып, жұмсайтын орта болып табылады.</w:t>
      </w:r>
    </w:p>
    <w:p w14:paraId="70DFA691" w14:textId="77777777" w:rsidR="004B5902" w:rsidRDefault="004B5902" w:rsidP="004B5902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38189B">
        <w:rPr>
          <w:rFonts w:ascii="Times New Roman" w:hAnsi="Times New Roman"/>
          <w:szCs w:val="28"/>
          <w:lang w:val="kk-KZ"/>
        </w:rPr>
        <w:t>Өзінің атқарымдық валютасын анықтау барысында субъект келесіні ескеру</w:t>
      </w:r>
      <w:r>
        <w:rPr>
          <w:rFonts w:ascii="Times New Roman" w:hAnsi="Times New Roman"/>
          <w:szCs w:val="28"/>
          <w:lang w:val="kk-KZ"/>
        </w:rPr>
        <w:t>і тиіс:</w:t>
      </w:r>
    </w:p>
    <w:p w14:paraId="4F05F65F" w14:textId="77777777" w:rsidR="004B5902" w:rsidRPr="00095210" w:rsidRDefault="004B5902" w:rsidP="004B5902">
      <w:pPr>
        <w:pStyle w:val="11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</w:t>
      </w:r>
      <w:r w:rsidRPr="00095210">
        <w:rPr>
          <w:rFonts w:ascii="Times New Roman" w:hAnsi="Times New Roman"/>
          <w:szCs w:val="28"/>
          <w:lang w:val="kk-KZ"/>
        </w:rPr>
        <w:t>a) Валютаны:</w:t>
      </w:r>
    </w:p>
    <w:p w14:paraId="32C9715B" w14:textId="77777777" w:rsidR="004B5902" w:rsidRPr="00095210" w:rsidRDefault="004B5902" w:rsidP="004B5902">
      <w:pPr>
        <w:pStyle w:val="11"/>
        <w:numPr>
          <w:ilvl w:val="0"/>
          <w:numId w:val="2"/>
        </w:numPr>
        <w:tabs>
          <w:tab w:val="left" w:pos="1276"/>
        </w:tabs>
        <w:ind w:left="0" w:firstLine="993"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к</w:t>
      </w:r>
      <w:r w:rsidRPr="00095210">
        <w:rPr>
          <w:rFonts w:ascii="Times New Roman" w:hAnsi="Times New Roman"/>
          <w:szCs w:val="28"/>
          <w:lang w:val="kk-KZ"/>
        </w:rPr>
        <w:t>ірістер, оның ішінде салықтар, гранттар мен айыппұлдар құралатындарын;</w:t>
      </w:r>
    </w:p>
    <w:p w14:paraId="750E778A" w14:textId="77777777" w:rsidR="004B5902" w:rsidRPr="00095210" w:rsidRDefault="004B5902" w:rsidP="004B5902">
      <w:pPr>
        <w:pStyle w:val="11"/>
        <w:numPr>
          <w:ilvl w:val="0"/>
          <w:numId w:val="2"/>
        </w:numPr>
        <w:tabs>
          <w:tab w:val="left" w:pos="1276"/>
        </w:tabs>
        <w:ind w:left="0" w:firstLine="993"/>
        <w:jc w:val="both"/>
        <w:rPr>
          <w:rFonts w:ascii="Times New Roman" w:hAnsi="Times New Roman"/>
          <w:szCs w:val="28"/>
          <w:lang w:val="kk-KZ"/>
        </w:rPr>
      </w:pPr>
      <w:r w:rsidRPr="00095210">
        <w:rPr>
          <w:rFonts w:ascii="Times New Roman" w:hAnsi="Times New Roman"/>
          <w:szCs w:val="28"/>
          <w:lang w:val="kk-KZ"/>
        </w:rPr>
        <w:t xml:space="preserve">тауар мен қызмет көрсетудің сату бағасына негізгі ықпал ететінін (мұндай валюта, əдетте, тауар мен қызмет көрсету берілген жəне сол бойынша есептесу </w:t>
      </w:r>
      <w:r>
        <w:rPr>
          <w:rFonts w:ascii="Times New Roman" w:hAnsi="Times New Roman"/>
          <w:szCs w:val="28"/>
          <w:lang w:val="kk-KZ"/>
        </w:rPr>
        <w:t xml:space="preserve">жүргізілетіні болып табылады); </w:t>
      </w:r>
    </w:p>
    <w:p w14:paraId="470CCDE9" w14:textId="77777777" w:rsidR="004B5902" w:rsidRPr="00095210" w:rsidRDefault="004B5902" w:rsidP="004B5902">
      <w:pPr>
        <w:pStyle w:val="11"/>
        <w:numPr>
          <w:ilvl w:val="0"/>
          <w:numId w:val="2"/>
        </w:numPr>
        <w:tabs>
          <w:tab w:val="left" w:pos="1276"/>
        </w:tabs>
        <w:ind w:left="0" w:firstLine="993"/>
        <w:jc w:val="both"/>
        <w:rPr>
          <w:rFonts w:ascii="Times New Roman" w:hAnsi="Times New Roman"/>
          <w:szCs w:val="28"/>
          <w:lang w:val="kk-KZ"/>
        </w:rPr>
      </w:pPr>
      <w:r w:rsidRPr="00095210">
        <w:rPr>
          <w:rFonts w:ascii="Times New Roman" w:hAnsi="Times New Roman"/>
          <w:szCs w:val="28"/>
          <w:lang w:val="kk-KZ"/>
        </w:rPr>
        <w:t>бəсекелік күштері мен бəсекелік ережелері негізінен, субъект шығаратын тауар мен қызмет көрсету бағасын құрауды анықтайтын елдерді.</w:t>
      </w:r>
    </w:p>
    <w:p w14:paraId="51444952" w14:textId="77777777" w:rsidR="004B5902" w:rsidRPr="00095210" w:rsidRDefault="004B5902" w:rsidP="004B5902">
      <w:pPr>
        <w:pStyle w:val="11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Cs w:val="28"/>
          <w:lang w:val="kk-KZ"/>
        </w:rPr>
      </w:pPr>
      <w:r w:rsidRPr="00095210">
        <w:rPr>
          <w:rFonts w:ascii="Times New Roman" w:hAnsi="Times New Roman"/>
          <w:szCs w:val="28"/>
          <w:lang w:val="kk-KZ"/>
        </w:rPr>
        <w:t>b) Негізінен, тауар мен қызмет көрсетуге байланысты еңбек ақы шығындарын, материалдық жəне басқа да шығындарды анықтайтын валютаны (көптеген жағдайларда осындай шығындар анықталған жəне есептесу жүргізілетін валюта болып табылады)</w:t>
      </w:r>
      <w:r>
        <w:rPr>
          <w:rFonts w:ascii="Times New Roman" w:hAnsi="Times New Roman"/>
          <w:szCs w:val="28"/>
          <w:lang w:val="kk-KZ"/>
        </w:rPr>
        <w:t>.</w:t>
      </w:r>
    </w:p>
    <w:p w14:paraId="43BDBB49" w14:textId="77777777" w:rsidR="004B5902" w:rsidRDefault="004B5902" w:rsidP="004B5902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</w:p>
    <w:p w14:paraId="60C6B9F5" w14:textId="77777777" w:rsidR="004B5902" w:rsidRDefault="004B5902" w:rsidP="004B5902">
      <w:pPr>
        <w:pStyle w:val="11"/>
        <w:ind w:left="121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035B70">
        <w:rPr>
          <w:rFonts w:ascii="TimesNewRomanPS-BoldMT" w:hAnsi="TimesNewRomanPS-BoldMT"/>
          <w:b/>
          <w:bCs/>
          <w:color w:val="000000"/>
          <w:szCs w:val="28"/>
          <w:lang w:val="kk-KZ"/>
        </w:rPr>
        <w:t>Бақылау сұрақтары</w:t>
      </w:r>
    </w:p>
    <w:p w14:paraId="42D8CF0F" w14:textId="77777777" w:rsidR="004B5902" w:rsidRPr="00C51450" w:rsidRDefault="004B5902" w:rsidP="004B5902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C51450">
        <w:rPr>
          <w:rFonts w:ascii="TimesNewRomanPSMT" w:hAnsi="TimesNewRomanPSMT"/>
          <w:color w:val="000000"/>
          <w:szCs w:val="28"/>
          <w:lang w:val="kk-KZ"/>
        </w:rPr>
        <w:t>Бағам айырмасын мойындау</w:t>
      </w:r>
    </w:p>
    <w:p w14:paraId="128C513D" w14:textId="77777777" w:rsidR="004B5902" w:rsidRPr="00C51450" w:rsidRDefault="004B5902" w:rsidP="004B5902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C51450">
        <w:rPr>
          <w:rFonts w:ascii="TimesNewRomanPSMT" w:hAnsi="TimesNewRomanPSMT"/>
          <w:color w:val="000000"/>
          <w:szCs w:val="28"/>
          <w:lang w:val="kk-KZ"/>
        </w:rPr>
        <w:t xml:space="preserve">Атқарымдық валютаның өзгерісі </w:t>
      </w:r>
    </w:p>
    <w:p w14:paraId="2C153C05" w14:textId="77777777" w:rsidR="004B5902" w:rsidRPr="00C51450" w:rsidRDefault="004B5902" w:rsidP="004B5902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C51450">
        <w:rPr>
          <w:rFonts w:ascii="TimesNewRomanPSMT" w:hAnsi="TimesNewRomanPSMT"/>
          <w:color w:val="000000"/>
          <w:szCs w:val="28"/>
          <w:lang w:val="kk-KZ"/>
        </w:rPr>
        <w:t>Атқарымдық валютадан өзгеше ұсыну валютасын пайдалану</w:t>
      </w:r>
    </w:p>
    <w:p w14:paraId="45AC61C2" w14:textId="77777777" w:rsidR="004B5902" w:rsidRPr="00C51450" w:rsidRDefault="004B5902" w:rsidP="004B5902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Cs w:val="28"/>
          <w:lang w:val="kk-KZ"/>
        </w:rPr>
      </w:pPr>
      <w:r w:rsidRPr="00C51450">
        <w:rPr>
          <w:rFonts w:ascii="Times New Roman" w:hAnsi="Times New Roman"/>
          <w:szCs w:val="28"/>
          <w:lang w:val="kk-KZ"/>
        </w:rPr>
        <w:t>Ұсыну валютасына ауыстыру</w:t>
      </w:r>
    </w:p>
    <w:p w14:paraId="012F366F" w14:textId="77777777" w:rsidR="004B5902" w:rsidRDefault="004B5902" w:rsidP="004B5902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Cs w:val="28"/>
          <w:lang w:val="kk-KZ"/>
        </w:rPr>
      </w:pPr>
      <w:r w:rsidRPr="00C51450">
        <w:rPr>
          <w:rFonts w:ascii="Times New Roman" w:hAnsi="Times New Roman"/>
          <w:szCs w:val="28"/>
          <w:lang w:val="kk-KZ"/>
        </w:rPr>
        <w:t>Шетел бөлімшесінің қызметі туралы мəліметтерді аудару</w:t>
      </w:r>
    </w:p>
    <w:p w14:paraId="78D70188" w14:textId="169A60A4" w:rsidR="004B5902" w:rsidRPr="00C51450" w:rsidRDefault="004B5902" w:rsidP="004B5902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Cs w:val="28"/>
          <w:lang w:val="kk-KZ"/>
        </w:rPr>
      </w:pPr>
      <w:r w:rsidRPr="00C51450">
        <w:rPr>
          <w:rFonts w:ascii="Times New Roman" w:hAnsi="Times New Roman"/>
          <w:szCs w:val="28"/>
          <w:lang w:val="kk-KZ"/>
        </w:rPr>
        <w:t>Бағам айырмасының салықтық салдарлары</w:t>
      </w:r>
    </w:p>
    <w:p w14:paraId="7B888EF7" w14:textId="11842C0B" w:rsidR="00CB0C24" w:rsidRDefault="00CB0C24" w:rsidP="004B5902"/>
    <w:sectPr w:rsidR="00CB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6B5F85"/>
    <w:multiLevelType w:val="hybridMultilevel"/>
    <w:tmpl w:val="82125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2322C"/>
    <w:multiLevelType w:val="hybridMultilevel"/>
    <w:tmpl w:val="390E40A0"/>
    <w:lvl w:ilvl="0" w:tplc="D708DF76">
      <w:start w:val="4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04922171">
    <w:abstractNumId w:val="0"/>
  </w:num>
  <w:num w:numId="2" w16cid:durableId="8742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95"/>
    <w:rsid w:val="003E4FE7"/>
    <w:rsid w:val="004B5902"/>
    <w:rsid w:val="008E7D03"/>
    <w:rsid w:val="00CB0C24"/>
    <w:rsid w:val="00D876DE"/>
    <w:rsid w:val="00E12B95"/>
    <w:rsid w:val="00E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FC38"/>
  <w15:chartTrackingRefBased/>
  <w15:docId w15:val="{2F5B54B3-8CD8-4D09-9ACE-FDEC354E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2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B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B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B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B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2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2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2B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2B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2B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2B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2B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2B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B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2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2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2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2B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2B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2B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2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2B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2B95"/>
    <w:rPr>
      <w:b/>
      <w:bCs/>
      <w:smallCaps/>
      <w:color w:val="0F4761" w:themeColor="accent1" w:themeShade="BF"/>
      <w:spacing w:val="5"/>
    </w:rPr>
  </w:style>
  <w:style w:type="paragraph" w:customStyle="1" w:styleId="11">
    <w:name w:val="Без интервала1"/>
    <w:rsid w:val="004B5902"/>
    <w:pPr>
      <w:spacing w:after="0" w:line="240" w:lineRule="auto"/>
    </w:pPr>
    <w:rPr>
      <w:rFonts w:ascii="Arial" w:eastAsia="Calibri" w:hAnsi="Arial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Тажикенова Сапия Каргабаевна</dc:creator>
  <cp:keywords/>
  <dc:description/>
  <cp:lastModifiedBy>Тажикенова Сапия Каргабаевна</cp:lastModifiedBy>
  <cp:revision>2</cp:revision>
  <dcterms:created xsi:type="dcterms:W3CDTF">2024-10-28T04:07:00Z</dcterms:created>
  <dcterms:modified xsi:type="dcterms:W3CDTF">2024-10-28T04:08:00Z</dcterms:modified>
</cp:coreProperties>
</file>