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EF3C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535BC">
        <w:rPr>
          <w:rFonts w:ascii="Times New Roman" w:hAnsi="Times New Roman" w:cs="Times New Roman"/>
          <w:b/>
          <w:bCs/>
          <w:sz w:val="32"/>
          <w:szCs w:val="32"/>
        </w:rPr>
        <w:t xml:space="preserve">Тақырып 1. Қоғамдық сектор субъектілерінің жалпы </w:t>
      </w:r>
      <w:proofErr w:type="spellStart"/>
      <w:r w:rsidRPr="006535BC">
        <w:rPr>
          <w:rFonts w:ascii="Times New Roman" w:hAnsi="Times New Roman" w:cs="Times New Roman"/>
          <w:b/>
          <w:bCs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b/>
          <w:bCs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b/>
          <w:bCs/>
          <w:sz w:val="32"/>
          <w:szCs w:val="32"/>
        </w:rPr>
        <w:t>есептілігінің</w:t>
      </w:r>
      <w:proofErr w:type="spellEnd"/>
      <w:r w:rsidRPr="006535BC">
        <w:rPr>
          <w:rFonts w:ascii="Times New Roman" w:hAnsi="Times New Roman" w:cs="Times New Roman"/>
          <w:b/>
          <w:bCs/>
          <w:sz w:val="32"/>
          <w:szCs w:val="32"/>
        </w:rPr>
        <w:t xml:space="preserve"> тұжырымдамасы</w:t>
      </w:r>
    </w:p>
    <w:p w14:paraId="7415DA4A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5642EB7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b/>
          <w:bCs/>
          <w:sz w:val="32"/>
          <w:szCs w:val="32"/>
        </w:rPr>
        <w:t>Дәрістің мақсаты:</w:t>
      </w:r>
      <w:r w:rsidRPr="006535BC">
        <w:rPr>
          <w:rFonts w:ascii="Times New Roman" w:hAnsi="Times New Roman" w:cs="Times New Roman"/>
          <w:sz w:val="32"/>
          <w:szCs w:val="32"/>
        </w:rPr>
        <w:t xml:space="preserve"> ҚС ХҚЕС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тұжырымдамалары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негізгі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қағидалары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жайлы түсінік беру.</w:t>
      </w:r>
    </w:p>
    <w:p w14:paraId="6F60D042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0227380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535BC">
        <w:rPr>
          <w:rFonts w:ascii="Times New Roman" w:hAnsi="Times New Roman" w:cs="Times New Roman"/>
          <w:b/>
          <w:bCs/>
          <w:sz w:val="32"/>
          <w:szCs w:val="32"/>
        </w:rPr>
        <w:t xml:space="preserve">Дәріс </w:t>
      </w:r>
      <w:proofErr w:type="spellStart"/>
      <w:r w:rsidRPr="006535BC">
        <w:rPr>
          <w:rFonts w:ascii="Times New Roman" w:hAnsi="Times New Roman" w:cs="Times New Roman"/>
          <w:b/>
          <w:bCs/>
          <w:sz w:val="32"/>
          <w:szCs w:val="32"/>
        </w:rPr>
        <w:t>сабағының</w:t>
      </w:r>
      <w:proofErr w:type="spellEnd"/>
      <w:r w:rsidRPr="006535BC">
        <w:rPr>
          <w:rFonts w:ascii="Times New Roman" w:hAnsi="Times New Roman" w:cs="Times New Roman"/>
          <w:b/>
          <w:bCs/>
          <w:sz w:val="32"/>
          <w:szCs w:val="32"/>
        </w:rPr>
        <w:t xml:space="preserve"> жоспары</w:t>
      </w:r>
    </w:p>
    <w:p w14:paraId="74B5FBB2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1. Қоғамдық сектор үшін қаржылық есептіліктің халықаралық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стандарттарының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қолдану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аясы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қызметі </w:t>
      </w:r>
    </w:p>
    <w:p w14:paraId="0485C1CC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қағидалар</w:t>
      </w:r>
      <w:proofErr w:type="spellEnd"/>
    </w:p>
    <w:p w14:paraId="1A685267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F2E021A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ҚС ХҚЕС қоғамдық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мүддені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көздеп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өз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құзыреттілігінің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аясында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дүниежүзіндегі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қоғамдық сектор субъектілері 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есептілікті жасау барысында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қолдануы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үшін қаржылық есептіліктің жоғары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сапалы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стандарттарын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әзірлеп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6535BC">
        <w:rPr>
          <w:rFonts w:ascii="Times New Roman" w:hAnsi="Times New Roman" w:cs="Times New Roman"/>
          <w:sz w:val="32"/>
          <w:szCs w:val="32"/>
        </w:rPr>
        <w:t>бекітеді.Осыған</w:t>
      </w:r>
      <w:proofErr w:type="spellEnd"/>
      <w:proofErr w:type="gramEnd"/>
      <w:r w:rsidRPr="006535BC">
        <w:rPr>
          <w:rFonts w:ascii="Times New Roman" w:hAnsi="Times New Roman" w:cs="Times New Roman"/>
          <w:sz w:val="32"/>
          <w:szCs w:val="32"/>
        </w:rPr>
        <w:t xml:space="preserve"> байланысты:</w:t>
      </w:r>
    </w:p>
    <w:p w14:paraId="13135A44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«Қоғамдық сектор»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термині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мемлекеттік басқарудың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федералдық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аймақтық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органдарына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штат,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қала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органдары),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үкімет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жергілікті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органдарына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ірі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қала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шағын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қала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) және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осылармен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байланысты мемлекеттік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мекемелерге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агенттіктер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кеңестер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комиссиялар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кәсіпорындар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) қатысты; </w:t>
      </w:r>
    </w:p>
    <w:p w14:paraId="687AACBB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есептіліктер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өздерінің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нақты ақпараттық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қажеттіліктерін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өтейтін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есептілік талап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ете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алмайтын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пайдаланушылардың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ақпараттық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қажеттіліктерін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өтеуді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көздейтін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есептілікке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жатады.</w:t>
      </w:r>
    </w:p>
    <w:p w14:paraId="45416D75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Қоғамдық сектор субъектілерінің 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есептілігінің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тұжырымдамасы (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) қоғамдық сектор субъектілері үшін қаржылық есептіліктің халықаралық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стандарттарын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(ҚС ХҚЕС) және қоғамдық сектор субъектілерінің 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есептіліктерін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(ЖМҚЕ) әзірлеу және ұсыну барысында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қолданылымды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Ұсынбалы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тәжірибе бойынша нұсқаулар (ҰТН) әзірлеу барысында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қолданылуы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тиіс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әдіснаманы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бекітіп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>, ашып көрсетеді.</w:t>
      </w:r>
    </w:p>
    <w:p w14:paraId="7A10EE14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ҚС ХҚЕС түрлі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саяси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жүйедегі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түрлі мемлекеттік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құрылымдағы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негізгі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бөлікке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қызмет көрсетуді жүзеге асырудың түрлі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институционалдық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әкімшілік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нобайларындағы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елдер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заңдылықтарда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қолдануға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арналып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әзірленеді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Қоғамдық сектор субъектілері үшін қаржылық есептіліктің халықаралық </w:t>
      </w:r>
      <w:r w:rsidRPr="006535BC">
        <w:rPr>
          <w:rFonts w:ascii="Times New Roman" w:hAnsi="Times New Roman" w:cs="Times New Roman"/>
          <w:sz w:val="32"/>
          <w:szCs w:val="32"/>
        </w:rPr>
        <w:lastRenderedPageBreak/>
        <w:t xml:space="preserve">стандарттары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кеңесі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(ҚС ХҚЕС К)</w:t>
      </w:r>
    </w:p>
    <w:p w14:paraId="768A6787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ҚС ХҚЕС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қабылдауы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мүмкін түрлі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заңдылықтағы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қолданыста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бар мемлекеттік, әлеуметтік және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мәдени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дәстүрлердің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қызмет көрсету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механизмдерінің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алуан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түрлі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екендігін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түсінеді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Тұжырымдаманы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әзірлеу барысында ҚС ХҚЕС </w:t>
      </w:r>
      <w:proofErr w:type="gramStart"/>
      <w:r w:rsidRPr="006535BC">
        <w:rPr>
          <w:rFonts w:ascii="Times New Roman" w:hAnsi="Times New Roman" w:cs="Times New Roman"/>
          <w:sz w:val="32"/>
          <w:szCs w:val="32"/>
        </w:rPr>
        <w:t>К осы</w:t>
      </w:r>
      <w:proofErr w:type="gram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алуан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түрлілікті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ескеріп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оның барлығын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қамтуға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тырысып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бақты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>.</w:t>
      </w:r>
    </w:p>
    <w:p w14:paraId="36B2A665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Есептеудің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әдісі</w:t>
      </w:r>
    </w:p>
    <w:p w14:paraId="7EA6505F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есептеудің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әдісін қабылдаған қоғамдық сектор субъектілерінің 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есептілігін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есептілігін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негіздейтін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әдіснаманы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535BC">
        <w:rPr>
          <w:rFonts w:ascii="Times New Roman" w:hAnsi="Times New Roman" w:cs="Times New Roman"/>
          <w:sz w:val="32"/>
          <w:szCs w:val="32"/>
        </w:rPr>
        <w:t>бекітеді.Есептеудің</w:t>
      </w:r>
      <w:proofErr w:type="spellEnd"/>
      <w:proofErr w:type="gram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әдісі бойынша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есептіліктегі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операциялар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басқа да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оқиғалар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орын алған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кезде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(тек,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ақшалай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қаражат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немесе оның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баламасы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төленгенде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ғана емес)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мойындалады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Сондықтан,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операциялар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оқиғалар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есепшілік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жазбада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жазылып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қаржылық есептіліктің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өздері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жататын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кезеңінде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мойындалады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>.</w:t>
      </w:r>
    </w:p>
    <w:p w14:paraId="4D664AFD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Есептеудің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әдісі бойынша дайындалған қаржылық есептілік осы есептіліктің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пайдаланушыларына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есеп беру кезеңі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ішіндегі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төлем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түсімді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субъектінің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келешектегі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ақшалай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қаражат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немесе басқа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қорлардың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шығынын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төлеу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міндеттемелері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субъектінің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есеп беру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күніндегі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қорлары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осы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міндеттемелеріндегі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өзгерістері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және есеп беру кезеңі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ішіндегі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қорларды қамтитын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бұрынғы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операциялары туралы ақпарат береді. Сондықтан, олар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есептеудің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кассалық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әдісі немесе басқа да әдістері немесе қаржылық есептілік қамтамасыз еткен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ақпараттан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гөрі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пайдаланушылардың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есеп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берушілік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мақсатында және шешім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қабылдауында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кіріс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мәліметтері ретінде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көбірек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пайдалы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болатын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бұрынғы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операциялар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басқа да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оқиғалар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туралы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ақпаратпен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қамтамасыз етеді.</w:t>
      </w:r>
    </w:p>
    <w:p w14:paraId="6857BD20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: 1–4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тараулар</w:t>
      </w:r>
      <w:proofErr w:type="spellEnd"/>
    </w:p>
    <w:p w14:paraId="08FF6013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ҚС ХҚЕС қазіргі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таңда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Тұжырымдаманы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әзірлеу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үстінде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Тұжырымдаманың барлық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құрауыштары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дерлік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өзара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байланыстырылған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, Тұжырымдаманың жобасы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кезеңдермен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әзірленіп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жатыр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Қазіргі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кезде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1 кезең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аяқталып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қойды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. Ол 1 -4 Тұжырымдаманың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тарауларын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құрайды. Бұл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тараулар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келесіні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қарастырады:</w:t>
      </w:r>
    </w:p>
    <w:p w14:paraId="48157E83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1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: Тұжырымдаманың алатын орны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өкілеттігі</w:t>
      </w:r>
      <w:proofErr w:type="spellEnd"/>
    </w:p>
    <w:p w14:paraId="7BA3379C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2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: 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есептіліктің мақсаттары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пайдаланушылары</w:t>
      </w:r>
      <w:proofErr w:type="spellEnd"/>
    </w:p>
    <w:p w14:paraId="3F995B93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3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: Сапалық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сипаттамалар</w:t>
      </w:r>
      <w:proofErr w:type="spellEnd"/>
    </w:p>
    <w:p w14:paraId="795AF2A3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lastRenderedPageBreak/>
        <w:t xml:space="preserve">· 4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тарау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: Есеп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беруші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субъект</w:t>
      </w:r>
    </w:p>
    <w:p w14:paraId="311B480F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Тұжырымдаманың басқа кезеңдері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келесіні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қарастырады:</w:t>
      </w:r>
    </w:p>
    <w:p w14:paraId="7EA83033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2 кезең—Қаржылық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мәлімдеме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элементтерінің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анықтамасы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мойындалуы</w:t>
      </w:r>
      <w:proofErr w:type="spellEnd"/>
    </w:p>
    <w:p w14:paraId="154E230B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3кезең―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мәлімдеме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мойындалған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элементтердің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өлшемі</w:t>
      </w:r>
      <w:proofErr w:type="spellEnd"/>
    </w:p>
    <w:p w14:paraId="71A3230D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 xml:space="preserve">· 4 кезең―Жалпы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мақсаттағы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қаржылық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есептіліктегі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ақпаратты ұсыну</w:t>
      </w:r>
    </w:p>
    <w:p w14:paraId="1A84A38F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D8365E9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535BC">
        <w:rPr>
          <w:rFonts w:ascii="Times New Roman" w:hAnsi="Times New Roman" w:cs="Times New Roman"/>
          <w:b/>
          <w:bCs/>
          <w:sz w:val="32"/>
          <w:szCs w:val="32"/>
        </w:rPr>
        <w:t>Бақылау сұрақтары</w:t>
      </w:r>
    </w:p>
    <w:p w14:paraId="64E987FD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>1.</w:t>
      </w:r>
      <w:r w:rsidRPr="006535BC">
        <w:rPr>
          <w:rFonts w:ascii="Times New Roman" w:hAnsi="Times New Roman" w:cs="Times New Roman"/>
          <w:sz w:val="32"/>
          <w:szCs w:val="32"/>
        </w:rPr>
        <w:tab/>
        <w:t xml:space="preserve">Есептеу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əдісі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кассалық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əдіс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бойынша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есептеуге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арналған ҚСҚЕХС</w:t>
      </w:r>
    </w:p>
    <w:p w14:paraId="6E12E7EC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>2.</w:t>
      </w:r>
      <w:r w:rsidRPr="006535BC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Кассалық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əдістен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есептеу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əдісіне</w:t>
      </w:r>
      <w:proofErr w:type="spellEnd"/>
      <w:r w:rsidRPr="006535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көшу</w:t>
      </w:r>
      <w:proofErr w:type="spellEnd"/>
    </w:p>
    <w:p w14:paraId="665841F7" w14:textId="77777777" w:rsidR="006535BC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>3.</w:t>
      </w:r>
      <w:r w:rsidRPr="006535BC">
        <w:rPr>
          <w:rFonts w:ascii="Times New Roman" w:hAnsi="Times New Roman" w:cs="Times New Roman"/>
          <w:sz w:val="32"/>
          <w:szCs w:val="32"/>
        </w:rPr>
        <w:tab/>
        <w:t xml:space="preserve">Қоғамдық сектор үшін қаржылық есептіліктің </w:t>
      </w:r>
      <w:proofErr w:type="gramStart"/>
      <w:r w:rsidRPr="006535BC">
        <w:rPr>
          <w:rFonts w:ascii="Times New Roman" w:hAnsi="Times New Roman" w:cs="Times New Roman"/>
          <w:sz w:val="32"/>
          <w:szCs w:val="32"/>
        </w:rPr>
        <w:t xml:space="preserve">халықаралық  </w:t>
      </w:r>
      <w:proofErr w:type="spellStart"/>
      <w:r w:rsidRPr="006535BC">
        <w:rPr>
          <w:rFonts w:ascii="Times New Roman" w:hAnsi="Times New Roman" w:cs="Times New Roman"/>
          <w:sz w:val="32"/>
          <w:szCs w:val="32"/>
        </w:rPr>
        <w:t>стандарттарының</w:t>
      </w:r>
      <w:proofErr w:type="spellEnd"/>
      <w:proofErr w:type="gramEnd"/>
      <w:r w:rsidRPr="006535BC">
        <w:rPr>
          <w:rFonts w:ascii="Times New Roman" w:hAnsi="Times New Roman" w:cs="Times New Roman"/>
          <w:sz w:val="32"/>
          <w:szCs w:val="32"/>
        </w:rPr>
        <w:t xml:space="preserve"> қызметі</w:t>
      </w:r>
    </w:p>
    <w:p w14:paraId="31E8FBB1" w14:textId="62E79D09" w:rsidR="00CB0C24" w:rsidRPr="006535BC" w:rsidRDefault="006535BC" w:rsidP="00653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35BC">
        <w:rPr>
          <w:rFonts w:ascii="Times New Roman" w:hAnsi="Times New Roman" w:cs="Times New Roman"/>
          <w:sz w:val="32"/>
          <w:szCs w:val="32"/>
        </w:rPr>
        <w:t>4. Қолдану тәртібі</w:t>
      </w:r>
    </w:p>
    <w:sectPr w:rsidR="00CB0C24" w:rsidRPr="0065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9F"/>
    <w:rsid w:val="00055FA4"/>
    <w:rsid w:val="000B479F"/>
    <w:rsid w:val="003E4FE7"/>
    <w:rsid w:val="006535BC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62B3F-35C7-4F28-9578-AEBA5BA8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7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7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7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7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7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7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7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7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7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2024-10-24T09:47:00Z</dcterms:created>
  <dcterms:modified xsi:type="dcterms:W3CDTF">2024-10-24T09:48:00Z</dcterms:modified>
</cp:coreProperties>
</file>