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58" w:rsidRPr="001D0D08" w:rsidRDefault="00044658" w:rsidP="00044658">
      <w:pPr>
        <w:pStyle w:val="a3"/>
        <w:jc w:val="center"/>
        <w:rPr>
          <w:b/>
          <w:sz w:val="24"/>
          <w:szCs w:val="24"/>
          <w:lang w:val="kk-KZ"/>
        </w:rPr>
      </w:pPr>
      <w:r w:rsidRPr="001D0D08">
        <w:rPr>
          <w:b/>
          <w:sz w:val="24"/>
          <w:szCs w:val="24"/>
          <w:lang w:val="kk-KZ"/>
        </w:rPr>
        <w:t>6В01823 -  Әлеуметтік педагогика және өзін-өзі тану</w:t>
      </w:r>
    </w:p>
    <w:p w:rsidR="00044658" w:rsidRPr="001D0D08" w:rsidRDefault="00044658" w:rsidP="00044658">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044658" w:rsidRPr="001D0D08" w:rsidRDefault="00044658" w:rsidP="00044658">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044658" w:rsidRPr="001D0D08" w:rsidRDefault="00044658" w:rsidP="00044658">
      <w:pPr>
        <w:jc w:val="both"/>
        <w:rPr>
          <w:b/>
          <w:sz w:val="24"/>
          <w:szCs w:val="24"/>
          <w:lang w:val="kk-KZ"/>
        </w:rPr>
      </w:pPr>
      <w:r w:rsidRPr="001D0D08">
        <w:rPr>
          <w:sz w:val="24"/>
          <w:szCs w:val="24"/>
          <w:lang w:val="kk-KZ"/>
        </w:rPr>
        <w:t xml:space="preserve">3- Дәріс: </w:t>
      </w:r>
      <w:r w:rsidRPr="001D0D08">
        <w:rPr>
          <w:b/>
          <w:sz w:val="24"/>
          <w:szCs w:val="24"/>
          <w:lang w:val="kk-KZ"/>
        </w:rPr>
        <w:t>Педaгогикaлық іс-әрекеттегі көшбасшылықты зерттеудегi ғылыми педaгогикaлық идеялaр.</w:t>
      </w:r>
    </w:p>
    <w:p w:rsidR="00044658" w:rsidRPr="001D0D08" w:rsidRDefault="00044658" w:rsidP="00044658">
      <w:pPr>
        <w:jc w:val="both"/>
        <w:rPr>
          <w:sz w:val="24"/>
          <w:szCs w:val="24"/>
          <w:lang w:val="kk-KZ"/>
        </w:rPr>
      </w:pPr>
      <w:r w:rsidRPr="001D0D08">
        <w:rPr>
          <w:b/>
          <w:sz w:val="24"/>
          <w:szCs w:val="24"/>
          <w:lang w:val="kk-KZ"/>
        </w:rPr>
        <w:t>Жоспары:</w:t>
      </w:r>
    </w:p>
    <w:p w:rsidR="00044658" w:rsidRPr="001D0D08" w:rsidRDefault="00044658" w:rsidP="00044658">
      <w:pPr>
        <w:pStyle w:val="a6"/>
        <w:widowControl/>
        <w:numPr>
          <w:ilvl w:val="0"/>
          <w:numId w:val="1"/>
        </w:numPr>
        <w:autoSpaceDE/>
        <w:autoSpaceDN/>
        <w:ind w:left="0"/>
        <w:contextualSpacing/>
        <w:rPr>
          <w:sz w:val="24"/>
          <w:szCs w:val="24"/>
        </w:rPr>
      </w:pPr>
      <w:r w:rsidRPr="001D0D08">
        <w:rPr>
          <w:sz w:val="24"/>
          <w:szCs w:val="24"/>
        </w:rPr>
        <w:t xml:space="preserve">Педaгогикaлық тұғырлaр. ( педагогикалық тұрғылар Педагогикалық тұғырлар, педагогикалық тәсілдер). </w:t>
      </w:r>
    </w:p>
    <w:p w:rsidR="00044658" w:rsidRPr="001D0D08" w:rsidRDefault="00044658" w:rsidP="00044658">
      <w:pPr>
        <w:pStyle w:val="a6"/>
        <w:widowControl/>
        <w:numPr>
          <w:ilvl w:val="0"/>
          <w:numId w:val="1"/>
        </w:numPr>
        <w:autoSpaceDE/>
        <w:autoSpaceDN/>
        <w:ind w:left="0"/>
        <w:contextualSpacing/>
        <w:rPr>
          <w:sz w:val="24"/>
          <w:szCs w:val="24"/>
        </w:rPr>
      </w:pPr>
      <w:r w:rsidRPr="001D0D08">
        <w:rPr>
          <w:sz w:val="24"/>
          <w:szCs w:val="24"/>
        </w:rPr>
        <w:t xml:space="preserve"> Aдaмның әлеуметтену үдерісінің көшбасшылық сaпaлaрының дaмуынa әсері, көшбасшының топтa өзaрa әрекеттесуі.</w:t>
      </w:r>
    </w:p>
    <w:p w:rsidR="00044658" w:rsidRPr="001D0D08" w:rsidRDefault="00044658" w:rsidP="00044658">
      <w:pPr>
        <w:pStyle w:val="a6"/>
        <w:widowControl/>
        <w:numPr>
          <w:ilvl w:val="0"/>
          <w:numId w:val="1"/>
        </w:numPr>
        <w:autoSpaceDE/>
        <w:autoSpaceDN/>
        <w:ind w:left="0"/>
        <w:contextualSpacing/>
        <w:rPr>
          <w:sz w:val="24"/>
          <w:szCs w:val="24"/>
        </w:rPr>
      </w:pPr>
      <w:r w:rsidRPr="001D0D08">
        <w:rPr>
          <w:sz w:val="24"/>
          <w:szCs w:val="24"/>
        </w:rPr>
        <w:t xml:space="preserve"> Көшбасшылық сaпaлaрдың дaмуынa әсер ететін жaғдaяттaр. </w:t>
      </w:r>
    </w:p>
    <w:p w:rsidR="00044658" w:rsidRPr="001D0D08" w:rsidRDefault="00044658" w:rsidP="00044658">
      <w:pPr>
        <w:pStyle w:val="a6"/>
        <w:widowControl/>
        <w:numPr>
          <w:ilvl w:val="0"/>
          <w:numId w:val="1"/>
        </w:numPr>
        <w:autoSpaceDE/>
        <w:autoSpaceDN/>
        <w:ind w:left="0"/>
        <w:contextualSpacing/>
        <w:rPr>
          <w:sz w:val="24"/>
          <w:szCs w:val="24"/>
        </w:rPr>
      </w:pPr>
      <w:r w:rsidRPr="001D0D08">
        <w:rPr>
          <w:sz w:val="24"/>
          <w:szCs w:val="24"/>
        </w:rPr>
        <w:t>Көшбасшылықты зерттеудің шетелдік теориясындaғы тұғырлaр. XX ғaсырдың 60-70 жылдaрындa персонaлистік (қызметкерлік) және функционaлдық (жaғдaяттық) тұжырымдaмaлaр және Көшбасшылық  концепциялaр.</w:t>
      </w:r>
    </w:p>
    <w:p w:rsidR="00044658" w:rsidRPr="001D0D08" w:rsidRDefault="00044658" w:rsidP="00044658">
      <w:pPr>
        <w:ind w:firstLine="567"/>
        <w:jc w:val="both"/>
        <w:rPr>
          <w:sz w:val="24"/>
          <w:szCs w:val="24"/>
          <w:lang w:val="kk-KZ"/>
        </w:rPr>
      </w:pPr>
      <w:r w:rsidRPr="001D0D08">
        <w:rPr>
          <w:sz w:val="24"/>
          <w:szCs w:val="24"/>
          <w:lang w:val="kk-KZ"/>
        </w:rPr>
        <w:t>Болашақ педагогтардың әлеуметтік қарым-қатынаста, іс-әрекетте көшбасшылық сапалар жүйесін меңгеруі және өзін субъекті ретінде көрсете алуында тұлғаға бағдарланған тәрбиенің, білім</w:t>
      </w:r>
      <w:r w:rsidRPr="001D0D08">
        <w:rPr>
          <w:i/>
          <w:sz w:val="24"/>
          <w:szCs w:val="24"/>
          <w:lang w:val="kk-KZ"/>
        </w:rPr>
        <w:t xml:space="preserve"> </w:t>
      </w:r>
      <w:r w:rsidRPr="001D0D08">
        <w:rPr>
          <w:sz w:val="24"/>
          <w:szCs w:val="24"/>
          <w:lang w:val="kk-KZ"/>
        </w:rPr>
        <w:t>берудің және оқытудың маңызы зор.</w:t>
      </w:r>
      <w:r w:rsidRPr="001D0D08">
        <w:rPr>
          <w:i/>
          <w:sz w:val="24"/>
          <w:szCs w:val="24"/>
          <w:lang w:val="kk-KZ"/>
        </w:rPr>
        <w:t xml:space="preserve"> </w:t>
      </w:r>
      <w:r w:rsidRPr="001D0D08">
        <w:rPr>
          <w:sz w:val="24"/>
          <w:szCs w:val="24"/>
          <w:lang w:val="kk-KZ"/>
        </w:rPr>
        <w:t>Тәрбиеге тұлғаға бағдарлы тұғырмен келу</w:t>
      </w:r>
      <w:r w:rsidRPr="001D0D08">
        <w:rPr>
          <w:i/>
          <w:sz w:val="24"/>
          <w:szCs w:val="24"/>
          <w:lang w:val="kk-KZ"/>
        </w:rPr>
        <w:t xml:space="preserve"> </w:t>
      </w:r>
      <w:r w:rsidRPr="001D0D08">
        <w:rPr>
          <w:sz w:val="24"/>
          <w:szCs w:val="24"/>
          <w:lang w:val="kk-KZ"/>
        </w:rPr>
        <w:t>– педагогтың тәрбиеленушіге тұлға, өзінің дамуының субъектісі, тәрбиелік өзара әрекеттің субъектісі ретінде қарау қатынасы</w:t>
      </w:r>
      <w:r w:rsidRPr="001D0D08">
        <w:rPr>
          <w:i/>
          <w:sz w:val="24"/>
          <w:szCs w:val="24"/>
          <w:lang w:val="kk-KZ"/>
        </w:rPr>
        <w:t>.</w:t>
      </w:r>
      <w:r w:rsidRPr="001D0D08">
        <w:rPr>
          <w:sz w:val="24"/>
          <w:szCs w:val="24"/>
          <w:lang w:val="kk-KZ"/>
        </w:rPr>
        <w:t xml:space="preserve"> Тұлғаға бағдарлы білім берудің басты идеясы – оқыту үдерісіндегі субъектілік қатынастарды қалыптастыру. Соңғы жылдары педагогика ғылымында «тұғыр» деген ұғым білім беру үдерісінің стратегиясы және тактикасын белгілеуде қолданылып келеді. </w:t>
      </w:r>
      <w:r w:rsidRPr="001D0D08">
        <w:rPr>
          <w:i/>
          <w:sz w:val="24"/>
          <w:szCs w:val="24"/>
          <w:lang w:val="kk-KZ"/>
        </w:rPr>
        <w:t>Тұғыр</w:t>
      </w:r>
      <w:r w:rsidRPr="001D0D08">
        <w:rPr>
          <w:sz w:val="24"/>
          <w:szCs w:val="24"/>
          <w:lang w:val="kk-KZ"/>
        </w:rPr>
        <w:t xml:space="preserve"> – педагогикалық нысананы зерттеудегі тәсілдер жиынтығының қатынасы. Қазақстандық ғалым Ш.Таубаеваның пікірінше, </w:t>
      </w:r>
      <w:r w:rsidRPr="001D0D08">
        <w:rPr>
          <w:i/>
          <w:sz w:val="24"/>
          <w:szCs w:val="24"/>
          <w:lang w:val="kk-KZ"/>
        </w:rPr>
        <w:t>тұғыр</w:t>
      </w:r>
      <w:r w:rsidRPr="001D0D08">
        <w:rPr>
          <w:sz w:val="24"/>
          <w:szCs w:val="24"/>
          <w:lang w:val="kk-KZ"/>
        </w:rPr>
        <w:t xml:space="preserve"> – </w:t>
      </w:r>
      <w:r w:rsidRPr="001D0D08">
        <w:rPr>
          <w:i/>
          <w:sz w:val="24"/>
          <w:szCs w:val="24"/>
          <w:lang w:val="kk-KZ"/>
        </w:rPr>
        <w:t>қойылған зерттеу міндеттемелерін шешудің негізгі жолы, ол осы шешімдердің бағыты мен стратегиясын ашады-деп анықтама берген.</w:t>
      </w:r>
      <w:r w:rsidRPr="001D0D08">
        <w:rPr>
          <w:sz w:val="24"/>
          <w:szCs w:val="24"/>
          <w:lang w:val="kk-KZ"/>
        </w:rPr>
        <w:t xml:space="preserve"> Сондайақ ол, педагогика ғылымындағы әдіснамалық тұғырларды жіктеп, оларға жеке сипаттама берген. Көптеген ғалымдар тұғырды білім беру үдерісінің тиімділігін арттыратын кешенді педагогикалық құрал деп түсіндіреді. </w:t>
      </w:r>
    </w:p>
    <w:p w:rsidR="00044658" w:rsidRPr="001D0D08" w:rsidRDefault="00044658" w:rsidP="00044658">
      <w:pPr>
        <w:ind w:firstLine="567"/>
        <w:jc w:val="both"/>
        <w:rPr>
          <w:sz w:val="24"/>
          <w:szCs w:val="24"/>
          <w:lang w:val="kk-KZ"/>
        </w:rPr>
      </w:pPr>
      <w:r w:rsidRPr="001D0D08">
        <w:rPr>
          <w:sz w:val="24"/>
          <w:szCs w:val="24"/>
          <w:lang w:val="kk-KZ"/>
        </w:rPr>
        <w:t xml:space="preserve">Демек,  </w:t>
      </w:r>
      <w:r w:rsidRPr="001D0D08">
        <w:rPr>
          <w:i/>
          <w:sz w:val="24"/>
          <w:szCs w:val="24"/>
          <w:lang w:val="kk-KZ"/>
        </w:rPr>
        <w:t>тұғыр</w:t>
      </w:r>
      <w:r w:rsidRPr="001D0D08">
        <w:rPr>
          <w:sz w:val="24"/>
          <w:szCs w:val="24"/>
          <w:lang w:val="kk-KZ"/>
        </w:rPr>
        <w:t xml:space="preserve">  педагогикалық іс-әрекет тәсілдерін және өзара байланысты идеялар мен ұғымдардың сапалық жиынтығын пайдалануға мүмкіндік тудыратын әдіснамалық бағдар болып табылады.  Тұлғаға бағдарлану тұғыры жоғары мектеп студенттерінде өзін-өзі қалыптастыру дағдыларын дамытуға бағытталған педагогикалық үдерістің негізі болып табылады. Ресей ғалымы И.С.Якиманская тұлғаға бағдарлану тұғырының әдіснамалық негіздерін зерттей отырып, оқу әрекетінде білім алушының субъектілі тәжірибесіне сүйену керек деп есептейді. Субъектілі тәжірибе - танымда айқындалатын жеке іс-әрекеттің негізі болып табылады. Сондықтан білім беру үдерісінде білім алушының субъектілі тәжірибесі оқытушының беретін тәжірибесі арқылы мәдени сипатқа ие болып, өзгереді, дамиды, жетіледі. Демек білім алушының тәжірибесі жеке, субъективті, қоғамдық тәжірибелердің үйлесімінде, бірлескен әрекетінде, меңгерген субъективті тәжірибесіне сүйенген жағдайда ғана нәтижелі болады. </w:t>
      </w:r>
    </w:p>
    <w:p w:rsidR="00044658" w:rsidRPr="001D0D08" w:rsidRDefault="00044658" w:rsidP="00044658">
      <w:pPr>
        <w:widowControl w:val="0"/>
        <w:ind w:firstLine="567"/>
        <w:jc w:val="both"/>
        <w:rPr>
          <w:sz w:val="24"/>
          <w:szCs w:val="24"/>
          <w:lang w:val="kk-KZ"/>
        </w:rPr>
      </w:pPr>
      <w:r w:rsidRPr="001D0D08">
        <w:rPr>
          <w:sz w:val="24"/>
          <w:szCs w:val="24"/>
          <w:lang w:val="kk-KZ"/>
        </w:rPr>
        <w:t xml:space="preserve">Е.В.Бондаревская тұлғаға бағдарлану тұғырының теориялық негіздерін талдау жүасап, білім беру сапасының қоғамдағы мәдениет дәрежесіне сәйкес болу ұстанымын ұсынды . </w:t>
      </w:r>
    </w:p>
    <w:p w:rsidR="00044658" w:rsidRPr="001D0D08" w:rsidRDefault="00044658" w:rsidP="00044658">
      <w:pPr>
        <w:widowControl w:val="0"/>
        <w:ind w:firstLine="567"/>
        <w:jc w:val="both"/>
        <w:rPr>
          <w:sz w:val="24"/>
          <w:szCs w:val="24"/>
          <w:lang w:val="kk-KZ"/>
        </w:rPr>
      </w:pPr>
      <w:r w:rsidRPr="001D0D08">
        <w:rPr>
          <w:sz w:val="24"/>
          <w:szCs w:val="24"/>
          <w:lang w:val="kk-KZ"/>
        </w:rPr>
        <w:lastRenderedPageBreak/>
        <w:t>Педагогикада тұлғаға бағдарлап оқытудың міндеттерін шешудің түрлі нұсқалары мен құралдары кездеседі. Соның бірі В.В. Сериков өз үлгісінде оқу үдерісі субъектілерінің төменде берілген жеке тұлғалық қызметін толық көрсету және дамыту үшін жағдайлар жасау қажеттілігін ерекше атап көрсетеді: мотивация</w:t>
      </w:r>
      <w:r w:rsidRPr="001D0D08">
        <w:rPr>
          <w:i/>
          <w:sz w:val="24"/>
          <w:szCs w:val="24"/>
          <w:lang w:val="kk-KZ"/>
        </w:rPr>
        <w:t xml:space="preserve"> (әрекетті қабылдау және негіздеу);</w:t>
      </w:r>
      <w:r w:rsidRPr="001D0D08">
        <w:rPr>
          <w:sz w:val="24"/>
          <w:szCs w:val="24"/>
          <w:lang w:val="kk-KZ"/>
        </w:rPr>
        <w:t xml:space="preserve"> байланыстыру</w:t>
      </w:r>
      <w:r w:rsidRPr="001D0D08">
        <w:rPr>
          <w:i/>
          <w:sz w:val="24"/>
          <w:szCs w:val="24"/>
          <w:lang w:val="kk-KZ"/>
        </w:rPr>
        <w:t xml:space="preserve"> (сыртқы әсерлер мен ішкі сананың түрткілеріне қатысты);</w:t>
      </w:r>
      <w:r w:rsidRPr="001D0D08">
        <w:rPr>
          <w:sz w:val="24"/>
          <w:szCs w:val="24"/>
          <w:lang w:val="kk-KZ"/>
        </w:rPr>
        <w:t xml:space="preserve"> коллизиялық </w:t>
      </w:r>
      <w:r w:rsidRPr="001D0D08">
        <w:rPr>
          <w:i/>
          <w:sz w:val="24"/>
          <w:szCs w:val="24"/>
          <w:lang w:val="kk-KZ"/>
        </w:rPr>
        <w:t>(өмірдің жасырын қайшылықтарын көру);</w:t>
      </w:r>
      <w:r w:rsidRPr="001D0D08">
        <w:rPr>
          <w:sz w:val="24"/>
          <w:szCs w:val="24"/>
          <w:lang w:val="kk-KZ"/>
        </w:rPr>
        <w:t xml:space="preserve"> сыни </w:t>
      </w:r>
      <w:r w:rsidRPr="001D0D08">
        <w:rPr>
          <w:i/>
          <w:sz w:val="24"/>
          <w:szCs w:val="24"/>
          <w:lang w:val="kk-KZ"/>
        </w:rPr>
        <w:t>(сырттан ұсынылатын құндылықтар мен қағидаларға қатысты);</w:t>
      </w:r>
      <w:r w:rsidRPr="001D0D08">
        <w:rPr>
          <w:sz w:val="24"/>
          <w:szCs w:val="24"/>
          <w:lang w:val="kk-KZ"/>
        </w:rPr>
        <w:t xml:space="preserve"> рефлексивтік, мағыналы-шығармашылық, бағдарлы </w:t>
      </w:r>
      <w:r w:rsidRPr="001D0D08">
        <w:rPr>
          <w:i/>
          <w:sz w:val="24"/>
          <w:szCs w:val="24"/>
          <w:lang w:val="kk-KZ"/>
        </w:rPr>
        <w:t xml:space="preserve">(дүниенің жеке бейнесін – жеке дүниетанымды құру); </w:t>
      </w:r>
      <w:r w:rsidRPr="001D0D08">
        <w:rPr>
          <w:sz w:val="24"/>
          <w:szCs w:val="24"/>
          <w:lang w:val="kk-KZ"/>
        </w:rPr>
        <w:t xml:space="preserve">ішкі дүниенің өзін-өзі реттеуін және орнықтылығын қамтамасыз ететін қызметтер, шығармашылықпен, жасампаздықпен, өзінің міндеттерін жүзеге асыру </w:t>
      </w:r>
      <w:r w:rsidRPr="001D0D08">
        <w:rPr>
          <w:i/>
          <w:sz w:val="24"/>
          <w:szCs w:val="24"/>
          <w:lang w:val="kk-KZ"/>
        </w:rPr>
        <w:t>(өзін айналасындығыларға мойындатуға талпыну),</w:t>
      </w:r>
      <w:r w:rsidRPr="001D0D08">
        <w:rPr>
          <w:sz w:val="24"/>
          <w:szCs w:val="24"/>
          <w:lang w:val="kk-KZ"/>
        </w:rPr>
        <w:t xml:space="preserve"> өзі талабына қарай рухани деңгейін қамтамасыз ету. </w:t>
      </w:r>
    </w:p>
    <w:p w:rsidR="00044658" w:rsidRPr="001D0D08" w:rsidRDefault="00044658" w:rsidP="00044658">
      <w:pPr>
        <w:widowControl w:val="0"/>
        <w:ind w:firstLine="567"/>
        <w:jc w:val="both"/>
        <w:rPr>
          <w:sz w:val="24"/>
          <w:szCs w:val="24"/>
          <w:lang w:val="kk-KZ"/>
        </w:rPr>
      </w:pPr>
      <w:r w:rsidRPr="001D0D08">
        <w:rPr>
          <w:sz w:val="24"/>
          <w:szCs w:val="24"/>
          <w:lang w:val="kk-KZ"/>
        </w:rPr>
        <w:t>Н.А.Алексеев жеке тұлғаға бағдарланған оқытудың мәнін, бір жағынан оқушы мен мұғалімнің байланысымен, екінші жағынан, оқушының мәдениетте танылуы арқылы өзінің жеке тұлғасын құруынан тұратын «мәдени акт» деген түсінікпен байланыстырады. Ол тұлғаға бағдарлану үлгісін субъективті және тұлғаға бағдарлана оқыту деп екіге бөледі. Субъективті бағдарлана оқыту оқушылардың қиялын еңбек іс-әрекетін ұйымдастыруда өздігімен дербес, «операциялық-орындаушылық» мәндегі белсенділігін дамытуға бағытталады. Е.Н. Степанов тұлғаға бағдарлану тұғырын педагогикалық қызметтегі әдістемелік бағдар ретінде анықтайды. Тұлғаға бағдарлану тұғыры өзара байланысты түсініктер, идеялар және әрекет ету тәсілдері жүйесіне тірек болу арқылы тұлғаның өзін-өзі тану, өзін-өзі көрсету және өзін-өзі жүзеге асыру, өзінің қайталанбас даралығын дамыту үдерістерін қамтамасыз етуі және қолдауы мүмкін. Оның пікірінше, тұлғаға бағдарлану тұғыры білім алушылармен өзара әрекеттесетін мемлекеттік және қоғамдық институттардың емес, көп жағдайда білім алушылардың қызығушылықтары мен қажеттіліктерін қанағаттандыруға бағытталған. Бұл тұғырды қолданған кезде педагогтар  студенттерде әдеттегі әлеуметтік қасиеттерді қалыптастыруға емес, олардың әрқайсысында әмбебап тұлғалық қасиеттерді дамытуға негізгі күш салады, бұл оқытушылар мен студенттер арасында субъекті-субъектілік қатынастардың пайда болуына әсер етеді.</w:t>
      </w:r>
    </w:p>
    <w:p w:rsidR="00044658" w:rsidRPr="001D0D08" w:rsidRDefault="00044658" w:rsidP="00044658">
      <w:pPr>
        <w:pStyle w:val="a8"/>
        <w:spacing w:after="0" w:line="240" w:lineRule="auto"/>
        <w:ind w:left="0" w:firstLine="720"/>
        <w:jc w:val="both"/>
        <w:rPr>
          <w:lang w:val="kk-KZ"/>
        </w:rPr>
      </w:pPr>
      <w:r w:rsidRPr="001D0D08">
        <w:rPr>
          <w:lang w:val="kk-KZ"/>
        </w:rPr>
        <w:t>Тұлғаға бағдарлану тұғыры жалпы теориялық тұрғыда білім мазмұнының мәніне қатысты көзқарастарды да өзгертті. К.Өстеміровтың зерттеуінде білім беру сатыларының ерекшелігіне байланысты мектепке дейінгі білім беруде – жеке тұлғаға бағдарлана тәрбиелеу және дамыту, бастауыш мектепте – субъективті бағдарлана оқыту және дамыту, базалық білім беру сатысында – жеке тұлғаға бағдарлана тәрбиелеу, бітіруші сатысында – жеке тұлғаға бағдарлана оқыту, мектептен кейінгі білім беру сатысында – жеке тұлғаға бағдарланаған кәсіби білім беру деп бөліп көрсеткен.</w:t>
      </w:r>
    </w:p>
    <w:p w:rsidR="00044658" w:rsidRPr="001D0D08" w:rsidRDefault="00044658" w:rsidP="00044658">
      <w:pPr>
        <w:shd w:val="clear" w:color="auto" w:fill="FFFFFF"/>
        <w:ind w:firstLine="567"/>
        <w:jc w:val="both"/>
        <w:rPr>
          <w:sz w:val="24"/>
          <w:szCs w:val="24"/>
          <w:lang w:val="kk-KZ"/>
        </w:rPr>
      </w:pPr>
      <w:r w:rsidRPr="001D0D08">
        <w:rPr>
          <w:sz w:val="24"/>
          <w:szCs w:val="24"/>
          <w:lang w:val="kk-KZ"/>
        </w:rPr>
        <w:t xml:space="preserve">Педагогтардың көшбасшылық сапаларын дамыту мәселесін шешуде тұлғаға бағдарлану, орта, іс-әрекеттік, ақпараттық, мотивациялық, құзыреттілік, </w:t>
      </w:r>
      <w:r w:rsidRPr="001D0D08">
        <w:rPr>
          <w:bCs/>
          <w:sz w:val="24"/>
          <w:szCs w:val="24"/>
          <w:highlight w:val="white"/>
          <w:lang w:val="kk-KZ"/>
        </w:rPr>
        <w:t>жүйелік</w:t>
      </w:r>
      <w:r w:rsidRPr="001D0D08">
        <w:rPr>
          <w:bCs/>
          <w:sz w:val="24"/>
          <w:szCs w:val="24"/>
          <w:lang w:val="kk-KZ"/>
        </w:rPr>
        <w:t xml:space="preserve">, құндылық, </w:t>
      </w:r>
      <w:r w:rsidRPr="001D0D08">
        <w:rPr>
          <w:sz w:val="24"/>
          <w:szCs w:val="24"/>
          <w:lang w:val="kk-KZ"/>
        </w:rPr>
        <w:t xml:space="preserve">интегративтілік, </w:t>
      </w:r>
      <w:r w:rsidRPr="001D0D08">
        <w:rPr>
          <w:bCs/>
          <w:sz w:val="24"/>
          <w:szCs w:val="24"/>
          <w:lang w:val="kk-KZ"/>
        </w:rPr>
        <w:t xml:space="preserve"> т.б.</w:t>
      </w:r>
      <w:r w:rsidRPr="001D0D08">
        <w:rPr>
          <w:sz w:val="24"/>
          <w:szCs w:val="24"/>
          <w:lang w:val="kk-KZ"/>
        </w:rPr>
        <w:t xml:space="preserve">тұғырларды басшылыққа алынады. </w:t>
      </w:r>
    </w:p>
    <w:p w:rsidR="00044658" w:rsidRPr="001D0D08" w:rsidRDefault="00044658" w:rsidP="00044658">
      <w:pPr>
        <w:pStyle w:val="a8"/>
        <w:spacing w:after="0" w:line="240" w:lineRule="auto"/>
        <w:ind w:left="0" w:firstLine="567"/>
        <w:jc w:val="center"/>
        <w:rPr>
          <w:lang w:val="kk-KZ"/>
        </w:rPr>
      </w:pPr>
      <w:r w:rsidRPr="001D0D08">
        <w:rPr>
          <w:lang w:val="kk-KZ"/>
        </w:rPr>
        <w:t>Көшбасшылық сапаларын дамыту мәселелерін зерттеу тұғырлары.</w:t>
      </w: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701"/>
        <w:gridCol w:w="5528"/>
        <w:gridCol w:w="2236"/>
      </w:tblGrid>
      <w:tr w:rsidR="00044658" w:rsidRPr="001D0D08"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t>№</w:t>
            </w: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t>Тұғырлар</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t>Сипаттамасы</w:t>
            </w: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t>Ғалымдар</w:t>
            </w:r>
          </w:p>
        </w:tc>
      </w:tr>
      <w:tr w:rsidR="00044658" w:rsidRPr="00044658"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lastRenderedPageBreak/>
              <w:t>1</w:t>
            </w: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sz w:val="24"/>
                <w:szCs w:val="24"/>
                <w:lang w:val="kk-KZ"/>
              </w:rPr>
              <w:t>Тұлғаға бағдарлану тұғыры</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sz w:val="24"/>
                <w:szCs w:val="24"/>
                <w:lang w:val="kk-KZ"/>
              </w:rPr>
              <w:t xml:space="preserve">Қазіргі педагогиканың теориялық-әдіснамалық негіздері, баланың дара, шығармашылық ерекшеліктерін ашу және есепке алу.    </w:t>
            </w: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sz w:val="24"/>
                <w:szCs w:val="24"/>
                <w:lang w:val="kk-KZ"/>
              </w:rPr>
              <w:t>А.Адлер, Басов А.П,</w:t>
            </w:r>
          </w:p>
          <w:p w:rsidR="00044658" w:rsidRPr="001D0D08" w:rsidRDefault="00044658" w:rsidP="001C313F">
            <w:pPr>
              <w:jc w:val="both"/>
              <w:rPr>
                <w:sz w:val="24"/>
                <w:szCs w:val="24"/>
                <w:lang w:val="kk-KZ"/>
              </w:rPr>
            </w:pPr>
            <w:r w:rsidRPr="001D0D08">
              <w:rPr>
                <w:sz w:val="24"/>
                <w:szCs w:val="24"/>
                <w:lang w:val="kk-KZ"/>
              </w:rPr>
              <w:t xml:space="preserve">Ш.А. </w:t>
            </w:r>
          </w:p>
          <w:p w:rsidR="00044658" w:rsidRPr="001D0D08" w:rsidRDefault="00044658" w:rsidP="001C313F">
            <w:pPr>
              <w:jc w:val="both"/>
              <w:rPr>
                <w:sz w:val="24"/>
                <w:szCs w:val="24"/>
                <w:lang w:val="kk-KZ"/>
              </w:rPr>
            </w:pPr>
            <w:r w:rsidRPr="001D0D08">
              <w:rPr>
                <w:sz w:val="24"/>
                <w:szCs w:val="24"/>
                <w:lang w:val="kk-KZ"/>
              </w:rPr>
              <w:t>Амонашвили,</w:t>
            </w:r>
          </w:p>
          <w:p w:rsidR="00044658" w:rsidRPr="001D0D08" w:rsidRDefault="00044658" w:rsidP="001C313F">
            <w:pPr>
              <w:jc w:val="both"/>
              <w:rPr>
                <w:sz w:val="24"/>
                <w:szCs w:val="24"/>
                <w:lang w:val="kk-KZ"/>
              </w:rPr>
            </w:pPr>
            <w:r w:rsidRPr="001D0D08">
              <w:rPr>
                <w:sz w:val="24"/>
                <w:szCs w:val="24"/>
                <w:lang w:val="kk-KZ"/>
              </w:rPr>
              <w:t>Д.Б. Эльконин,</w:t>
            </w:r>
          </w:p>
          <w:p w:rsidR="00044658" w:rsidRPr="001D0D08" w:rsidRDefault="00044658" w:rsidP="001C313F">
            <w:pPr>
              <w:jc w:val="both"/>
              <w:rPr>
                <w:sz w:val="24"/>
                <w:szCs w:val="24"/>
                <w:lang w:val="kk-KZ"/>
              </w:rPr>
            </w:pPr>
            <w:r w:rsidRPr="00044658">
              <w:rPr>
                <w:bCs/>
                <w:iCs/>
                <w:sz w:val="24"/>
                <w:szCs w:val="24"/>
                <w:lang w:val="ru-RU"/>
              </w:rPr>
              <w:t>Б.Г</w:t>
            </w:r>
            <w:r w:rsidRPr="001D0D08">
              <w:rPr>
                <w:sz w:val="24"/>
                <w:szCs w:val="24"/>
                <w:lang w:val="kk-KZ"/>
              </w:rPr>
              <w:t xml:space="preserve"> </w:t>
            </w:r>
            <w:r w:rsidRPr="00044658">
              <w:rPr>
                <w:bCs/>
                <w:iCs/>
                <w:sz w:val="24"/>
                <w:szCs w:val="24"/>
                <w:lang w:val="ru-RU"/>
              </w:rPr>
              <w:t>Ананьев</w:t>
            </w:r>
            <w:r w:rsidRPr="001D0D08">
              <w:rPr>
                <w:bCs/>
                <w:iCs/>
                <w:sz w:val="24"/>
                <w:szCs w:val="24"/>
                <w:lang w:val="kk-KZ"/>
              </w:rPr>
              <w:t>,</w:t>
            </w:r>
            <w:r w:rsidRPr="001D0D08">
              <w:rPr>
                <w:sz w:val="24"/>
                <w:szCs w:val="24"/>
                <w:lang w:val="kk-KZ"/>
              </w:rPr>
              <w:t xml:space="preserve"> </w:t>
            </w:r>
          </w:p>
          <w:p w:rsidR="00044658" w:rsidRPr="001D0D08" w:rsidRDefault="00044658" w:rsidP="001C313F">
            <w:pPr>
              <w:jc w:val="both"/>
              <w:rPr>
                <w:sz w:val="24"/>
                <w:szCs w:val="24"/>
                <w:lang w:val="kk-KZ"/>
              </w:rPr>
            </w:pPr>
            <w:r w:rsidRPr="001D0D08">
              <w:rPr>
                <w:sz w:val="24"/>
                <w:szCs w:val="24"/>
                <w:lang w:val="kk-KZ"/>
              </w:rPr>
              <w:t>В.Ф. Шаталова,</w:t>
            </w:r>
          </w:p>
          <w:p w:rsidR="00044658" w:rsidRPr="001D0D08" w:rsidRDefault="00044658" w:rsidP="001C313F">
            <w:pPr>
              <w:jc w:val="both"/>
              <w:rPr>
                <w:sz w:val="24"/>
                <w:szCs w:val="24"/>
                <w:lang w:val="kk-KZ"/>
              </w:rPr>
            </w:pPr>
            <w:r w:rsidRPr="001D0D08">
              <w:rPr>
                <w:sz w:val="24"/>
                <w:szCs w:val="24"/>
                <w:lang w:val="kk-KZ"/>
              </w:rPr>
              <w:t>В.В. Давыдова,</w:t>
            </w:r>
          </w:p>
          <w:p w:rsidR="00044658" w:rsidRPr="001D0D08" w:rsidRDefault="00044658" w:rsidP="001C313F">
            <w:pPr>
              <w:jc w:val="both"/>
              <w:rPr>
                <w:sz w:val="24"/>
                <w:szCs w:val="24"/>
                <w:lang w:val="kk-KZ"/>
              </w:rPr>
            </w:pPr>
            <w:r w:rsidRPr="001D0D08">
              <w:rPr>
                <w:sz w:val="24"/>
                <w:szCs w:val="24"/>
                <w:lang w:val="kk-KZ"/>
              </w:rPr>
              <w:t>В.Ф. Занкова,</w:t>
            </w:r>
            <w:r w:rsidRPr="00044658">
              <w:rPr>
                <w:sz w:val="24"/>
                <w:szCs w:val="24"/>
                <w:lang w:val="ru-RU"/>
              </w:rPr>
              <w:t xml:space="preserve"> Е.Н. Степанова</w:t>
            </w:r>
            <w:r w:rsidRPr="001D0D08">
              <w:rPr>
                <w:sz w:val="24"/>
                <w:szCs w:val="24"/>
                <w:lang w:val="kk-KZ"/>
              </w:rPr>
              <w:t xml:space="preserve"> және т.б.</w:t>
            </w:r>
          </w:p>
        </w:tc>
      </w:tr>
      <w:tr w:rsidR="00044658" w:rsidRPr="00D96A04"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p>
          <w:p w:rsidR="00044658" w:rsidRPr="001D0D08" w:rsidRDefault="00044658" w:rsidP="001C313F">
            <w:pPr>
              <w:jc w:val="both"/>
              <w:rPr>
                <w:bCs/>
                <w:sz w:val="24"/>
                <w:szCs w:val="24"/>
                <w:lang w:val="kk-KZ"/>
              </w:rPr>
            </w:pPr>
            <w:r w:rsidRPr="001D0D08">
              <w:rPr>
                <w:bCs/>
                <w:sz w:val="24"/>
                <w:szCs w:val="24"/>
                <w:lang w:val="kk-KZ"/>
              </w:rPr>
              <w:t>2</w:t>
            </w: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sz w:val="24"/>
                <w:szCs w:val="24"/>
                <w:lang w:val="kk-KZ"/>
              </w:rPr>
            </w:pPr>
            <w:r w:rsidRPr="001D0D08">
              <w:rPr>
                <w:bCs/>
                <w:sz w:val="24"/>
                <w:szCs w:val="24"/>
                <w:lang w:val="kk-KZ"/>
              </w:rPr>
              <w:t>Жүйелілік тұғыры</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ind w:firstLine="567"/>
              <w:jc w:val="both"/>
              <w:rPr>
                <w:bCs/>
                <w:sz w:val="24"/>
                <w:szCs w:val="24"/>
                <w:lang w:val="kk-KZ"/>
              </w:rPr>
            </w:pPr>
            <w:r w:rsidRPr="001D0D08">
              <w:rPr>
                <w:sz w:val="24"/>
                <w:szCs w:val="24"/>
                <w:lang w:val="kk-KZ"/>
              </w:rPr>
              <w:t>Б</w:t>
            </w:r>
            <w:r w:rsidRPr="001D0D08">
              <w:rPr>
                <w:bCs/>
                <w:sz w:val="24"/>
                <w:szCs w:val="24"/>
                <w:lang w:val="kk-KZ"/>
              </w:rPr>
              <w:t>ілім беру жүйесінде жеке тұлғаның дамуы, бәрінен бұрын, білім беру және тәрбие үдерісінің негізі болып табылатын әмбебап оқу іс-әрекеттерін қалыптастыру арқылы қамтамасыз етіледі</w:t>
            </w:r>
            <w:r w:rsidRPr="001D0D08">
              <w:rPr>
                <w:sz w:val="24"/>
                <w:szCs w:val="24"/>
                <w:lang w:val="kk-KZ"/>
              </w:rPr>
              <w:t xml:space="preserve">.    </w:t>
            </w:r>
            <w:r w:rsidRPr="001D0D08">
              <w:rPr>
                <w:bCs/>
                <w:sz w:val="24"/>
                <w:szCs w:val="24"/>
                <w:lang w:val="kk-KZ"/>
              </w:rPr>
              <w:t xml:space="preserve"> </w:t>
            </w: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sz w:val="24"/>
                <w:szCs w:val="24"/>
                <w:lang w:val="kk-KZ"/>
              </w:rPr>
            </w:pPr>
            <w:r w:rsidRPr="001D0D08">
              <w:rPr>
                <w:sz w:val="24"/>
                <w:szCs w:val="24"/>
                <w:lang w:val="kk-KZ"/>
              </w:rPr>
              <w:t xml:space="preserve">А.Н.Леонтьев, Д.Б.Эльконин, </w:t>
            </w:r>
          </w:p>
          <w:p w:rsidR="00044658" w:rsidRPr="001D0D08" w:rsidRDefault="00044658" w:rsidP="001C313F">
            <w:pPr>
              <w:jc w:val="both"/>
              <w:rPr>
                <w:sz w:val="24"/>
                <w:szCs w:val="24"/>
                <w:lang w:val="kk-KZ"/>
              </w:rPr>
            </w:pPr>
            <w:r w:rsidRPr="001D0D08">
              <w:rPr>
                <w:sz w:val="24"/>
                <w:szCs w:val="24"/>
                <w:lang w:val="kk-KZ"/>
              </w:rPr>
              <w:t>Л.С.Выготский, П.Я.Гальперин,</w:t>
            </w:r>
          </w:p>
          <w:p w:rsidR="00044658" w:rsidRPr="001D0D08" w:rsidRDefault="00044658" w:rsidP="001C313F">
            <w:pPr>
              <w:jc w:val="both"/>
              <w:rPr>
                <w:sz w:val="24"/>
                <w:szCs w:val="24"/>
                <w:lang w:val="kk-KZ"/>
              </w:rPr>
            </w:pPr>
            <w:r w:rsidRPr="001D0D08">
              <w:rPr>
                <w:sz w:val="24"/>
                <w:szCs w:val="24"/>
                <w:lang w:val="kk-KZ"/>
              </w:rPr>
              <w:t>В.Г. Афанасьев және т.б.</w:t>
            </w:r>
          </w:p>
        </w:tc>
      </w:tr>
      <w:tr w:rsidR="00044658" w:rsidRPr="00044658"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t>3</w:t>
            </w: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shd w:val="clear" w:color="auto" w:fill="FFFFFF"/>
              <w:jc w:val="both"/>
              <w:rPr>
                <w:bCs/>
                <w:sz w:val="24"/>
                <w:szCs w:val="24"/>
                <w:lang w:val="kk-KZ"/>
              </w:rPr>
            </w:pPr>
            <w:r w:rsidRPr="001D0D08">
              <w:rPr>
                <w:sz w:val="24"/>
                <w:szCs w:val="24"/>
                <w:lang w:val="kk-KZ"/>
              </w:rPr>
              <w:t>Мотивациялық тұғыр</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ind w:firstLine="567"/>
              <w:jc w:val="both"/>
              <w:rPr>
                <w:sz w:val="24"/>
                <w:szCs w:val="24"/>
                <w:lang w:val="kk-KZ"/>
              </w:rPr>
            </w:pPr>
            <w:r w:rsidRPr="001D0D08">
              <w:rPr>
                <w:sz w:val="24"/>
                <w:szCs w:val="24"/>
                <w:lang w:val="kk-KZ"/>
              </w:rPr>
              <w:t xml:space="preserve">Басқару субъектілерінің қажеттіліктері мен қызығушылықтарын есепке алады.    </w:t>
            </w:r>
          </w:p>
          <w:p w:rsidR="00044658" w:rsidRPr="001D0D08" w:rsidRDefault="00044658" w:rsidP="001C313F">
            <w:pPr>
              <w:jc w:val="both"/>
              <w:rPr>
                <w:sz w:val="24"/>
                <w:szCs w:val="24"/>
                <w:lang w:val="kk-KZ"/>
              </w:rPr>
            </w:pP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pStyle w:val="a8"/>
              <w:spacing w:after="0" w:line="240" w:lineRule="auto"/>
              <w:ind w:left="0"/>
              <w:jc w:val="both"/>
              <w:rPr>
                <w:lang w:val="kk-KZ"/>
              </w:rPr>
            </w:pPr>
            <w:r w:rsidRPr="001D0D08">
              <w:rPr>
                <w:lang w:val="kk-KZ"/>
              </w:rPr>
              <w:t xml:space="preserve">А.Маслоу </w:t>
            </w:r>
          </w:p>
          <w:p w:rsidR="00044658" w:rsidRPr="001D0D08" w:rsidRDefault="00044658" w:rsidP="001C313F">
            <w:pPr>
              <w:pStyle w:val="a8"/>
              <w:spacing w:after="0" w:line="240" w:lineRule="auto"/>
              <w:ind w:left="0"/>
              <w:jc w:val="both"/>
              <w:rPr>
                <w:lang w:val="kk-KZ"/>
              </w:rPr>
            </w:pPr>
            <w:r w:rsidRPr="001D0D08">
              <w:rPr>
                <w:lang w:val="kk-KZ"/>
              </w:rPr>
              <w:t>К. Альдерфер,</w:t>
            </w:r>
          </w:p>
          <w:p w:rsidR="00044658" w:rsidRPr="001D0D08" w:rsidRDefault="00044658" w:rsidP="001C313F">
            <w:pPr>
              <w:pStyle w:val="a8"/>
              <w:spacing w:after="0" w:line="240" w:lineRule="auto"/>
              <w:ind w:left="0"/>
              <w:jc w:val="both"/>
              <w:rPr>
                <w:lang w:val="kk-KZ"/>
              </w:rPr>
            </w:pPr>
            <w:r w:rsidRPr="001D0D08">
              <w:rPr>
                <w:lang w:val="kk-KZ"/>
              </w:rPr>
              <w:t>Д.Мак-Грегор,</w:t>
            </w:r>
          </w:p>
          <w:p w:rsidR="00044658" w:rsidRPr="00044658" w:rsidRDefault="00044658" w:rsidP="001C313F">
            <w:pPr>
              <w:pStyle w:val="a8"/>
              <w:spacing w:after="0" w:line="240" w:lineRule="auto"/>
              <w:ind w:left="0"/>
              <w:jc w:val="both"/>
              <w:rPr>
                <w:lang w:val="ru-RU"/>
              </w:rPr>
            </w:pPr>
            <w:r w:rsidRPr="00044658">
              <w:rPr>
                <w:rStyle w:val="a5"/>
                <w:rFonts w:eastAsia="SimSun"/>
                <w:lang w:val="ru-RU"/>
              </w:rPr>
              <w:t>Д. Мак</w:t>
            </w:r>
            <w:r w:rsidRPr="001D0D08">
              <w:rPr>
                <w:rStyle w:val="a5"/>
                <w:rFonts w:eastAsia="SimSun"/>
                <w:lang w:val="kk-KZ"/>
              </w:rPr>
              <w:t>-</w:t>
            </w:r>
            <w:r w:rsidRPr="00044658">
              <w:rPr>
                <w:rStyle w:val="a5"/>
                <w:rFonts w:eastAsia="SimSun"/>
                <w:lang w:val="ru-RU"/>
              </w:rPr>
              <w:t>Клелланда</w:t>
            </w:r>
            <w:r w:rsidRPr="001D0D08">
              <w:rPr>
                <w:lang w:val="kk-KZ"/>
              </w:rPr>
              <w:t xml:space="preserve"> және т.б.</w:t>
            </w:r>
            <w:r w:rsidRPr="00044658">
              <w:rPr>
                <w:lang w:val="ru-RU"/>
              </w:rPr>
              <w:t xml:space="preserve"> </w:t>
            </w:r>
          </w:p>
        </w:tc>
      </w:tr>
      <w:tr w:rsidR="00044658" w:rsidRPr="001D0D08"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t>5</w:t>
            </w: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shd w:val="clear" w:color="auto" w:fill="FFFFFF"/>
              <w:jc w:val="both"/>
              <w:rPr>
                <w:sz w:val="24"/>
                <w:szCs w:val="24"/>
                <w:lang w:val="kk-KZ"/>
              </w:rPr>
            </w:pPr>
            <w:r w:rsidRPr="001D0D08">
              <w:rPr>
                <w:sz w:val="24"/>
                <w:szCs w:val="24"/>
                <w:lang w:val="kk-KZ"/>
              </w:rPr>
              <w:t>Құндылық тұғыр</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sz w:val="24"/>
                <w:szCs w:val="24"/>
                <w:lang w:val="kk-KZ"/>
              </w:rPr>
            </w:pPr>
            <w:r w:rsidRPr="001D0D08">
              <w:rPr>
                <w:sz w:val="24"/>
                <w:szCs w:val="24"/>
                <w:lang w:val="kk-KZ"/>
              </w:rPr>
              <w:t xml:space="preserve">Құндылықтар жеке тұлғаның өзекті білімі, мәдениетінің жүйелі бөлшегі, адамгершілікке деген қажеттіліктің айқындалуы. Табиғи құндылықтар – адамның күші мен жан дүниесінің қабілеттілік құндылықтары; жүре пайда болған құндылықтар адамның интелектуалды және адамгершілік тұрғыдан дамуы барысында меңгерген құндылықтар,жалпыазаматтық құндылықтар.    </w:t>
            </w: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C30389" w:rsidRDefault="00044658" w:rsidP="001C313F">
            <w:pPr>
              <w:jc w:val="both"/>
              <w:rPr>
                <w:rStyle w:val="submenu-table"/>
                <w:bCs/>
                <w:sz w:val="24"/>
                <w:szCs w:val="24"/>
                <w:lang w:val="kk-KZ"/>
              </w:rPr>
            </w:pPr>
            <w:r w:rsidRPr="00C30389">
              <w:rPr>
                <w:rStyle w:val="submenu-table"/>
                <w:bCs/>
                <w:sz w:val="24"/>
                <w:szCs w:val="24"/>
                <w:lang w:val="kk-KZ"/>
              </w:rPr>
              <w:t xml:space="preserve">К. Ходжкинсон, Г.Фейрхольм, Р.Гринлифа, </w:t>
            </w:r>
          </w:p>
          <w:p w:rsidR="00044658" w:rsidRPr="001D0D08" w:rsidRDefault="00044658" w:rsidP="001C313F">
            <w:pPr>
              <w:jc w:val="both"/>
              <w:rPr>
                <w:sz w:val="24"/>
                <w:szCs w:val="24"/>
                <w:lang w:val="kk-KZ"/>
              </w:rPr>
            </w:pPr>
            <w:r w:rsidRPr="001D0D08">
              <w:rPr>
                <w:sz w:val="24"/>
                <w:szCs w:val="24"/>
                <w:lang w:val="kk-KZ"/>
              </w:rPr>
              <w:t>Т. Кучмарски,</w:t>
            </w:r>
          </w:p>
          <w:p w:rsidR="00044658" w:rsidRPr="001D0D08" w:rsidRDefault="00044658" w:rsidP="001C313F">
            <w:pPr>
              <w:jc w:val="both"/>
              <w:rPr>
                <w:sz w:val="24"/>
                <w:szCs w:val="24"/>
                <w:lang w:val="kk-KZ"/>
              </w:rPr>
            </w:pPr>
            <w:r w:rsidRPr="001D0D08">
              <w:rPr>
                <w:sz w:val="24"/>
                <w:szCs w:val="24"/>
                <w:lang w:val="kk-KZ"/>
              </w:rPr>
              <w:t>С. Кучмарски</w:t>
            </w:r>
          </w:p>
          <w:p w:rsidR="00044658" w:rsidRPr="00044658" w:rsidRDefault="00044658" w:rsidP="001C313F">
            <w:pPr>
              <w:jc w:val="both"/>
              <w:rPr>
                <w:rStyle w:val="submenu-table"/>
                <w:bCs/>
                <w:sz w:val="24"/>
                <w:szCs w:val="24"/>
                <w:lang w:val="ru-RU"/>
              </w:rPr>
            </w:pPr>
            <w:r w:rsidRPr="001D0D08">
              <w:rPr>
                <w:rStyle w:val="a5"/>
                <w:iCs/>
                <w:sz w:val="24"/>
                <w:szCs w:val="24"/>
                <w:lang w:val="kk-KZ"/>
              </w:rPr>
              <w:t>Р.Л.Кричевский,</w:t>
            </w:r>
            <w:r w:rsidRPr="001D0D08">
              <w:rPr>
                <w:sz w:val="24"/>
                <w:szCs w:val="24"/>
                <w:lang w:val="kk-KZ"/>
              </w:rPr>
              <w:t xml:space="preserve"> З.И. Равкин. </w:t>
            </w:r>
            <w:r w:rsidRPr="001D0D08">
              <w:rPr>
                <w:rStyle w:val="a5"/>
                <w:iCs/>
                <w:sz w:val="24"/>
                <w:szCs w:val="24"/>
                <w:lang w:val="kk-KZ"/>
              </w:rPr>
              <w:t xml:space="preserve"> </w:t>
            </w:r>
          </w:p>
          <w:p w:rsidR="00044658" w:rsidRPr="001D0D08" w:rsidRDefault="00044658" w:rsidP="001C313F">
            <w:pPr>
              <w:jc w:val="both"/>
              <w:rPr>
                <w:sz w:val="24"/>
                <w:szCs w:val="24"/>
                <w:lang w:val="kk-KZ"/>
              </w:rPr>
            </w:pPr>
            <w:r w:rsidRPr="001D0D08">
              <w:rPr>
                <w:sz w:val="24"/>
                <w:szCs w:val="24"/>
                <w:lang w:val="kk-KZ"/>
              </w:rPr>
              <w:t>және т.б.</w:t>
            </w:r>
          </w:p>
        </w:tc>
      </w:tr>
      <w:tr w:rsidR="00044658" w:rsidRPr="001D0D08"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t>6</w:t>
            </w:r>
          </w:p>
          <w:p w:rsidR="00044658" w:rsidRPr="001D0D08" w:rsidRDefault="00044658" w:rsidP="001C313F">
            <w:pPr>
              <w:jc w:val="both"/>
              <w:rPr>
                <w:bCs/>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sz w:val="24"/>
                <w:szCs w:val="24"/>
                <w:lang w:val="kk-KZ"/>
              </w:rPr>
              <w:t>Ақпараттық тұғыр</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sz w:val="24"/>
                <w:szCs w:val="24"/>
                <w:lang w:val="kk-KZ"/>
              </w:rPr>
              <w:t xml:space="preserve">Ақпараттық тұғыр – табиғат пен қоғамның нысандарын, үрдістерін немесе құбылыстарын ғылыми тұрғыдан танудың әдісі, бұл әдіске сәйкес, ең алдымен, зерттеліп отырған нысандардың қызмет етуі мен дамытуын анықтайтын сипаттаушы </w:t>
            </w:r>
            <w:r w:rsidRPr="001D0D08">
              <w:rPr>
                <w:sz w:val="24"/>
                <w:szCs w:val="24"/>
                <w:lang w:val="kk-KZ"/>
              </w:rPr>
              <w:lastRenderedPageBreak/>
              <w:t xml:space="preserve">түрлі ақпараттық аспектілер айқындалып, талданады.    </w:t>
            </w: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pStyle w:val="a8"/>
              <w:spacing w:after="0" w:line="240" w:lineRule="auto"/>
              <w:ind w:left="0"/>
              <w:jc w:val="both"/>
              <w:rPr>
                <w:lang w:val="kk-KZ"/>
              </w:rPr>
            </w:pPr>
            <w:r w:rsidRPr="001D0D08">
              <w:rPr>
                <w:rStyle w:val="hl1"/>
                <w:lang w:val="kk-KZ"/>
              </w:rPr>
              <w:lastRenderedPageBreak/>
              <w:t xml:space="preserve">Л.В.Гайдаренка, </w:t>
            </w:r>
          </w:p>
          <w:p w:rsidR="00044658" w:rsidRPr="001D0D08" w:rsidRDefault="00044658" w:rsidP="001C313F">
            <w:pPr>
              <w:pStyle w:val="a8"/>
              <w:spacing w:after="0" w:line="240" w:lineRule="auto"/>
              <w:ind w:left="0"/>
              <w:jc w:val="both"/>
              <w:rPr>
                <w:lang w:val="kk-KZ"/>
              </w:rPr>
            </w:pPr>
            <w:r w:rsidRPr="001D0D08">
              <w:rPr>
                <w:lang w:val="kk-KZ"/>
              </w:rPr>
              <w:t>В.Г. Афанасьев</w:t>
            </w:r>
          </w:p>
          <w:p w:rsidR="00044658" w:rsidRPr="001D0D08" w:rsidRDefault="00044658" w:rsidP="001C313F">
            <w:pPr>
              <w:pStyle w:val="a8"/>
              <w:spacing w:after="0" w:line="240" w:lineRule="auto"/>
              <w:ind w:left="0"/>
              <w:jc w:val="both"/>
              <w:rPr>
                <w:lang w:val="kk-KZ"/>
              </w:rPr>
            </w:pPr>
            <w:r w:rsidRPr="001D0D08">
              <w:rPr>
                <w:lang w:val="kk-KZ"/>
              </w:rPr>
              <w:t xml:space="preserve">және т.б. </w:t>
            </w:r>
          </w:p>
          <w:p w:rsidR="00044658" w:rsidRPr="001D0D08" w:rsidRDefault="00044658" w:rsidP="001C313F">
            <w:pPr>
              <w:jc w:val="both"/>
              <w:rPr>
                <w:bCs/>
                <w:sz w:val="24"/>
                <w:szCs w:val="24"/>
                <w:lang w:val="kk-KZ"/>
              </w:rPr>
            </w:pPr>
          </w:p>
        </w:tc>
      </w:tr>
      <w:tr w:rsidR="00044658" w:rsidRPr="00D96A04"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r w:rsidRPr="001D0D08">
              <w:rPr>
                <w:bCs/>
                <w:sz w:val="24"/>
                <w:szCs w:val="24"/>
                <w:lang w:val="kk-KZ"/>
              </w:rPr>
              <w:lastRenderedPageBreak/>
              <w:t>7</w:t>
            </w: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sz w:val="24"/>
                <w:szCs w:val="24"/>
                <w:lang w:val="kk-KZ"/>
              </w:rPr>
            </w:pPr>
            <w:r w:rsidRPr="001D0D08">
              <w:rPr>
                <w:sz w:val="24"/>
                <w:szCs w:val="24"/>
                <w:lang w:val="kk-KZ"/>
              </w:rPr>
              <w:t>Құзыреттілік тұғыр</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sz w:val="24"/>
                <w:szCs w:val="24"/>
                <w:lang w:val="kk-KZ"/>
              </w:rPr>
            </w:pPr>
            <w:r w:rsidRPr="001D0D08">
              <w:rPr>
                <w:rStyle w:val="c0"/>
                <w:sz w:val="24"/>
                <w:szCs w:val="24"/>
                <w:lang w:val="kk-KZ"/>
              </w:rPr>
              <w:t>Құзыреттілік тұғыр – білім берудің мақсатын айқындаудың, білім беру мазмұнын іріктеудің, білім беру  үдерісін ұйымдастырудың және нәтижелерін бағалаудың жалпы қағидаларының жиынтығы.</w:t>
            </w:r>
            <w:r w:rsidRPr="001D0D08">
              <w:rPr>
                <w:sz w:val="24"/>
                <w:szCs w:val="24"/>
                <w:lang w:val="kk-KZ"/>
              </w:rPr>
              <w:t xml:space="preserve">  </w:t>
            </w: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pStyle w:val="a8"/>
              <w:spacing w:after="0" w:line="240" w:lineRule="auto"/>
              <w:ind w:left="0"/>
              <w:jc w:val="both"/>
              <w:rPr>
                <w:rStyle w:val="hl1"/>
                <w:lang w:val="kk-KZ"/>
              </w:rPr>
            </w:pPr>
            <w:r w:rsidRPr="001D0D08">
              <w:rPr>
                <w:rStyle w:val="c0"/>
                <w:lang w:val="kk-KZ"/>
              </w:rPr>
              <w:t>Э.Ф. Зеер, И.А. Зимняя, А.В. Хуторской, Д.Б. Эльконин және т.б.</w:t>
            </w:r>
          </w:p>
        </w:tc>
      </w:tr>
      <w:tr w:rsidR="00044658" w:rsidRPr="00D96A04" w:rsidTr="001C313F">
        <w:tc>
          <w:tcPr>
            <w:tcW w:w="392"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bCs/>
                <w:sz w:val="24"/>
                <w:szCs w:val="24"/>
                <w:lang w:val="kk-KZ"/>
              </w:rPr>
            </w:pPr>
          </w:p>
          <w:p w:rsidR="00044658" w:rsidRPr="001D0D08" w:rsidRDefault="00044658" w:rsidP="001C313F">
            <w:pPr>
              <w:jc w:val="both"/>
              <w:rPr>
                <w:bCs/>
                <w:sz w:val="24"/>
                <w:szCs w:val="24"/>
                <w:lang w:val="kk-KZ"/>
              </w:rPr>
            </w:pPr>
            <w:r w:rsidRPr="001D0D08">
              <w:rPr>
                <w:bCs/>
                <w:sz w:val="24"/>
                <w:szCs w:val="24"/>
                <w:lang w:val="kk-KZ"/>
              </w:rPr>
              <w:t>8</w:t>
            </w:r>
          </w:p>
        </w:tc>
        <w:tc>
          <w:tcPr>
            <w:tcW w:w="1701"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shd w:val="clear" w:color="auto" w:fill="FFFFFF"/>
              <w:jc w:val="both"/>
              <w:rPr>
                <w:sz w:val="24"/>
                <w:szCs w:val="24"/>
                <w:lang w:val="kk-KZ"/>
              </w:rPr>
            </w:pPr>
            <w:r w:rsidRPr="001D0D08">
              <w:rPr>
                <w:sz w:val="24"/>
                <w:szCs w:val="24"/>
                <w:lang w:val="kk-KZ"/>
              </w:rPr>
              <w:t>Іс-әрекет тұғыры</w:t>
            </w:r>
          </w:p>
        </w:tc>
        <w:tc>
          <w:tcPr>
            <w:tcW w:w="5528"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ind w:firstLine="567"/>
              <w:jc w:val="both"/>
              <w:rPr>
                <w:sz w:val="24"/>
                <w:szCs w:val="24"/>
                <w:lang w:val="kk-KZ"/>
              </w:rPr>
            </w:pPr>
            <w:r w:rsidRPr="001D0D08">
              <w:rPr>
                <w:sz w:val="24"/>
                <w:szCs w:val="24"/>
                <w:lang w:val="kk-KZ"/>
              </w:rPr>
              <w:t xml:space="preserve">Көшбасшылық үдерісінің негізгі детерминанты топтың мақсаты мен міндеттері болып табылады, кімнің көшбасшы болатынын және көшбасшылықтың қандай стилі аса маңызды екенін анықтайды; топта көшбасшылықты айқындау және оның стилін анықтау үшін әдістеме құрады.    </w:t>
            </w:r>
          </w:p>
          <w:p w:rsidR="00044658" w:rsidRPr="001D0D08" w:rsidRDefault="00044658" w:rsidP="001C313F">
            <w:pPr>
              <w:jc w:val="both"/>
              <w:rPr>
                <w:sz w:val="24"/>
                <w:szCs w:val="24"/>
                <w:lang w:val="kk-KZ"/>
              </w:rPr>
            </w:pPr>
          </w:p>
        </w:tc>
        <w:tc>
          <w:tcPr>
            <w:tcW w:w="2236" w:type="dxa"/>
            <w:tcBorders>
              <w:top w:val="single" w:sz="4" w:space="0" w:color="000000"/>
              <w:left w:val="single" w:sz="4" w:space="0" w:color="000000"/>
              <w:bottom w:val="single" w:sz="4" w:space="0" w:color="000000"/>
              <w:right w:val="single" w:sz="4" w:space="0" w:color="000000"/>
            </w:tcBorders>
            <w:hideMark/>
          </w:tcPr>
          <w:p w:rsidR="00044658" w:rsidRPr="001D0D08" w:rsidRDefault="00044658" w:rsidP="001C313F">
            <w:pPr>
              <w:jc w:val="both"/>
              <w:rPr>
                <w:sz w:val="24"/>
                <w:szCs w:val="24"/>
                <w:lang w:val="kk-KZ"/>
              </w:rPr>
            </w:pPr>
            <w:r w:rsidRPr="001D0D08">
              <w:rPr>
                <w:sz w:val="24"/>
                <w:szCs w:val="24"/>
                <w:lang w:val="kk-KZ"/>
              </w:rPr>
              <w:t>И.Фихте</w:t>
            </w:r>
          </w:p>
          <w:p w:rsidR="00044658" w:rsidRPr="001D0D08" w:rsidRDefault="00044658" w:rsidP="001C313F">
            <w:pPr>
              <w:jc w:val="both"/>
              <w:rPr>
                <w:sz w:val="24"/>
                <w:szCs w:val="24"/>
                <w:lang w:val="kk-KZ"/>
              </w:rPr>
            </w:pPr>
            <w:r w:rsidRPr="001D0D08">
              <w:rPr>
                <w:sz w:val="24"/>
                <w:szCs w:val="24"/>
                <w:lang w:val="kk-KZ"/>
              </w:rPr>
              <w:t xml:space="preserve"> Г.Гегель </w:t>
            </w:r>
          </w:p>
          <w:p w:rsidR="00044658" w:rsidRPr="001D0D08" w:rsidRDefault="00044658" w:rsidP="001C313F">
            <w:pPr>
              <w:jc w:val="both"/>
              <w:rPr>
                <w:sz w:val="24"/>
                <w:szCs w:val="24"/>
                <w:lang w:val="kk-KZ"/>
              </w:rPr>
            </w:pPr>
            <w:r w:rsidRPr="001D0D08">
              <w:rPr>
                <w:sz w:val="24"/>
                <w:szCs w:val="24"/>
                <w:lang w:val="kk-KZ"/>
              </w:rPr>
              <w:t xml:space="preserve">А.Н.Леонтьев, М.Я. Басов, </w:t>
            </w:r>
          </w:p>
          <w:p w:rsidR="00044658" w:rsidRPr="001D0D08" w:rsidRDefault="00044658" w:rsidP="001C313F">
            <w:pPr>
              <w:jc w:val="both"/>
              <w:rPr>
                <w:sz w:val="24"/>
                <w:szCs w:val="24"/>
                <w:lang w:val="kk-KZ"/>
              </w:rPr>
            </w:pPr>
            <w:r w:rsidRPr="001D0D08">
              <w:rPr>
                <w:sz w:val="24"/>
                <w:szCs w:val="24"/>
                <w:lang w:val="kk-KZ"/>
              </w:rPr>
              <w:t>С.Л. Рубинштейн</w:t>
            </w:r>
          </w:p>
          <w:p w:rsidR="00044658" w:rsidRPr="001D0D08" w:rsidRDefault="00044658" w:rsidP="001C313F">
            <w:pPr>
              <w:pStyle w:val="a8"/>
              <w:spacing w:after="0" w:line="240" w:lineRule="auto"/>
              <w:ind w:left="0"/>
              <w:jc w:val="both"/>
              <w:rPr>
                <w:lang w:val="kk-KZ"/>
              </w:rPr>
            </w:pPr>
            <w:r w:rsidRPr="001D0D08">
              <w:rPr>
                <w:lang w:val="kk-KZ"/>
              </w:rPr>
              <w:t>және т.б.</w:t>
            </w:r>
          </w:p>
        </w:tc>
      </w:tr>
    </w:tbl>
    <w:p w:rsidR="00375FF8" w:rsidRPr="00044658" w:rsidRDefault="00375FF8">
      <w:pPr>
        <w:rPr>
          <w:lang w:val="kk-KZ"/>
        </w:rPr>
      </w:pPr>
      <w:bookmarkStart w:id="0" w:name="_GoBack"/>
      <w:bookmarkEnd w:id="0"/>
    </w:p>
    <w:sectPr w:rsidR="00375FF8" w:rsidRPr="0004465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0F8A"/>
    <w:multiLevelType w:val="hybridMultilevel"/>
    <w:tmpl w:val="5B6486EA"/>
    <w:lvl w:ilvl="0" w:tplc="48E0272E">
      <w:start w:val="1"/>
      <w:numFmt w:val="decimal"/>
      <w:lvlText w:val="%1."/>
      <w:lvlJc w:val="left"/>
      <w:pPr>
        <w:ind w:left="927" w:hanging="360"/>
      </w:pPr>
      <w:rPr>
        <w:rFonts w:asciiTheme="minorHAnsi" w:hAnsiTheme="minorHAnsi" w:cstheme="minorBidi"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FB"/>
    <w:rsid w:val="00044658"/>
    <w:rsid w:val="00375FF8"/>
    <w:rsid w:val="0057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9A71"/>
  <w15:chartTrackingRefBased/>
  <w15:docId w15:val="{50C68BB9-F5AB-4086-9A50-56594B3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6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044658"/>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044658"/>
    <w:rPr>
      <w:rFonts w:ascii="Times New Roman" w:eastAsia="Times New Roman" w:hAnsi="Times New Roman" w:cs="Times New Roman"/>
      <w:sz w:val="20"/>
      <w:szCs w:val="20"/>
      <w:lang w:val="ru-RU" w:eastAsia="zh-CN"/>
    </w:rPr>
  </w:style>
  <w:style w:type="character" w:styleId="a5">
    <w:name w:val="Strong"/>
    <w:uiPriority w:val="22"/>
    <w:qFormat/>
    <w:rsid w:val="00044658"/>
    <w:rPr>
      <w:b/>
      <w:bCs/>
    </w:rPr>
  </w:style>
  <w:style w:type="paragraph" w:styleId="a6">
    <w:name w:val="List Paragraph"/>
    <w:aliases w:val="без абзаца,маркированный"/>
    <w:basedOn w:val="a"/>
    <w:link w:val="a7"/>
    <w:uiPriority w:val="34"/>
    <w:qFormat/>
    <w:rsid w:val="00044658"/>
    <w:pPr>
      <w:widowControl w:val="0"/>
      <w:autoSpaceDE w:val="0"/>
      <w:autoSpaceDN w:val="0"/>
      <w:spacing w:after="0" w:line="240" w:lineRule="auto"/>
      <w:ind w:left="1088"/>
      <w:jc w:val="both"/>
    </w:pPr>
    <w:rPr>
      <w:rFonts w:ascii="Times New Roman" w:eastAsia="Times New Roman" w:hAnsi="Times New Roman" w:cs="Times New Roman"/>
      <w:sz w:val="20"/>
      <w:szCs w:val="20"/>
      <w:lang w:val="kk-KZ" w:eastAsia="ru-RU"/>
    </w:rPr>
  </w:style>
  <w:style w:type="character" w:customStyle="1" w:styleId="a7">
    <w:name w:val="Абзац списка Знак"/>
    <w:aliases w:val="без абзаца Знак,маркированный Знак"/>
    <w:link w:val="a6"/>
    <w:uiPriority w:val="34"/>
    <w:locked/>
    <w:rsid w:val="00044658"/>
    <w:rPr>
      <w:rFonts w:ascii="Times New Roman" w:eastAsia="Times New Roman" w:hAnsi="Times New Roman" w:cs="Times New Roman"/>
      <w:sz w:val="20"/>
      <w:szCs w:val="20"/>
      <w:lang w:val="kk-KZ" w:eastAsia="ru-RU"/>
    </w:rPr>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8"/>
    <w:uiPriority w:val="34"/>
    <w:locked/>
    <w:rsid w:val="00044658"/>
    <w:rPr>
      <w:rFonts w:ascii="Times New Roman" w:eastAsia="Times New Roman" w:hAnsi="Times New Roman" w:cs="Times New Roman"/>
      <w:sz w:val="24"/>
      <w:szCs w:val="24"/>
    </w:rPr>
  </w:style>
  <w:style w:type="paragraph" w:styleId="a8">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044658"/>
    <w:pPr>
      <w:spacing w:after="200" w:line="276" w:lineRule="auto"/>
      <w:ind w:left="720"/>
      <w:contextualSpacing/>
    </w:pPr>
    <w:rPr>
      <w:rFonts w:ascii="Times New Roman" w:eastAsia="Times New Roman" w:hAnsi="Times New Roman" w:cs="Times New Roman"/>
      <w:sz w:val="24"/>
      <w:szCs w:val="24"/>
    </w:rPr>
  </w:style>
  <w:style w:type="character" w:customStyle="1" w:styleId="submenu-table">
    <w:name w:val="submenu-table"/>
    <w:basedOn w:val="a0"/>
    <w:rsid w:val="00044658"/>
  </w:style>
  <w:style w:type="character" w:customStyle="1" w:styleId="hl1">
    <w:name w:val="hl1"/>
    <w:rsid w:val="00044658"/>
    <w:rPr>
      <w:color w:val="4682B4"/>
    </w:rPr>
  </w:style>
  <w:style w:type="character" w:customStyle="1" w:styleId="c0">
    <w:name w:val="c0"/>
    <w:basedOn w:val="a0"/>
    <w:rsid w:val="0004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6972</Characters>
  <Application>Microsoft Office Word</Application>
  <DocSecurity>0</DocSecurity>
  <Lines>58</Lines>
  <Paragraphs>16</Paragraphs>
  <ScaleCrop>false</ScaleCrop>
  <Company>SPecialiST RePack</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2023-11-06T03:42:00Z</dcterms:created>
  <dcterms:modified xsi:type="dcterms:W3CDTF">2023-11-06T03:43:00Z</dcterms:modified>
</cp:coreProperties>
</file>