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FAC" w:rsidRDefault="00653FAC" w:rsidP="00DD1B21">
      <w:pPr>
        <w:jc w:val="center"/>
        <w:rPr>
          <w:b/>
          <w:sz w:val="32"/>
          <w:szCs w:val="32"/>
          <w:lang w:val="kk-KZ"/>
        </w:rPr>
      </w:pPr>
      <w:r>
        <w:rPr>
          <w:b/>
          <w:sz w:val="32"/>
          <w:szCs w:val="32"/>
          <w:lang w:val="kk-KZ"/>
        </w:rPr>
        <w:t xml:space="preserve">Дәріс тақырыбы: </w:t>
      </w:r>
      <w:r w:rsidR="00DD1B21">
        <w:rPr>
          <w:b/>
          <w:sz w:val="32"/>
          <w:szCs w:val="32"/>
          <w:lang w:val="kk-KZ"/>
        </w:rPr>
        <w:t>Бренд архитектурасы</w:t>
      </w:r>
    </w:p>
    <w:p w:rsidR="00DD1B21" w:rsidRDefault="00DD1B21" w:rsidP="00DD1B21">
      <w:pPr>
        <w:jc w:val="center"/>
        <w:rPr>
          <w:b/>
          <w:sz w:val="32"/>
          <w:szCs w:val="32"/>
          <w:lang w:val="kk-KZ"/>
        </w:rPr>
      </w:pPr>
    </w:p>
    <w:p w:rsidR="00DD1B21" w:rsidRPr="00DD1B21" w:rsidRDefault="00DD1B21" w:rsidP="00DD1B21">
      <w:pPr>
        <w:pStyle w:val="a4"/>
        <w:numPr>
          <w:ilvl w:val="0"/>
          <w:numId w:val="2"/>
        </w:numPr>
        <w:jc w:val="both"/>
        <w:rPr>
          <w:b/>
          <w:sz w:val="32"/>
          <w:szCs w:val="32"/>
          <w:lang w:val="kk-KZ"/>
        </w:rPr>
      </w:pPr>
      <w:r w:rsidRPr="00DD1B21">
        <w:rPr>
          <w:b/>
          <w:sz w:val="32"/>
          <w:szCs w:val="32"/>
          <w:lang w:val="kk-KZ"/>
        </w:rPr>
        <w:t>Бренд архитектурасы</w:t>
      </w:r>
    </w:p>
    <w:p w:rsidR="00DD1B21" w:rsidRPr="00DD1B21" w:rsidRDefault="00DD1B21" w:rsidP="00DD1B21">
      <w:pPr>
        <w:pStyle w:val="a4"/>
        <w:numPr>
          <w:ilvl w:val="0"/>
          <w:numId w:val="2"/>
        </w:numPr>
        <w:jc w:val="both"/>
        <w:rPr>
          <w:b/>
          <w:sz w:val="32"/>
          <w:szCs w:val="32"/>
          <w:lang w:val="kk-KZ"/>
        </w:rPr>
      </w:pPr>
      <w:r w:rsidRPr="00DD1B21">
        <w:rPr>
          <w:b/>
          <w:sz w:val="32"/>
          <w:szCs w:val="32"/>
          <w:lang w:val="kk-KZ"/>
        </w:rPr>
        <w:t>Бренд архитектурасының құраушы элементтері</w:t>
      </w:r>
    </w:p>
    <w:p w:rsidR="00DD1B21" w:rsidRPr="00DD1B21" w:rsidRDefault="00DD1B21" w:rsidP="00DD1B21">
      <w:pPr>
        <w:pStyle w:val="a4"/>
        <w:numPr>
          <w:ilvl w:val="0"/>
          <w:numId w:val="2"/>
        </w:numPr>
        <w:jc w:val="both"/>
        <w:rPr>
          <w:b/>
          <w:sz w:val="32"/>
          <w:szCs w:val="32"/>
          <w:lang w:val="kk-KZ"/>
        </w:rPr>
      </w:pPr>
      <w:r>
        <w:rPr>
          <w:b/>
          <w:sz w:val="32"/>
          <w:szCs w:val="32"/>
          <w:lang w:val="kk-KZ"/>
        </w:rPr>
        <w:t xml:space="preserve">Д. </w:t>
      </w:r>
      <w:r w:rsidRPr="00DD1B21">
        <w:rPr>
          <w:b/>
          <w:sz w:val="32"/>
          <w:szCs w:val="32"/>
          <w:lang w:val="kk-KZ"/>
        </w:rPr>
        <w:t>Аакер бойынша бренд архитектурасы</w:t>
      </w:r>
    </w:p>
    <w:p w:rsidR="00DD1B21" w:rsidRDefault="00DD1B21" w:rsidP="00DD1B21">
      <w:pPr>
        <w:ind w:firstLine="567"/>
        <w:jc w:val="both"/>
        <w:rPr>
          <w:sz w:val="32"/>
          <w:szCs w:val="32"/>
          <w:lang w:val="kk-KZ"/>
        </w:rPr>
      </w:pPr>
    </w:p>
    <w:p w:rsidR="00DD1B21" w:rsidRDefault="00DD1B21" w:rsidP="00DD1B21">
      <w:pPr>
        <w:ind w:firstLine="567"/>
        <w:jc w:val="both"/>
        <w:rPr>
          <w:sz w:val="32"/>
          <w:szCs w:val="32"/>
          <w:lang w:val="kk-KZ"/>
        </w:rPr>
      </w:pPr>
      <w:r w:rsidRPr="00DD1B21">
        <w:rPr>
          <w:sz w:val="32"/>
          <w:szCs w:val="32"/>
          <w:lang w:val="kk-KZ"/>
        </w:rPr>
        <w:t>Компанияның бренд архитектурасын дамытудағы маңызды процестер: брендтерді түрі бойынша топтастыру, қатаң иерархиялық реттілікте бренд ағашын қалыптастыру, брендтердің ассортиментін ұсыну.</w:t>
      </w:r>
    </w:p>
    <w:p w:rsidR="00DD1B21" w:rsidRPr="00880C98" w:rsidRDefault="00DD1B21" w:rsidP="00DD1B21">
      <w:pPr>
        <w:ind w:firstLine="567"/>
        <w:jc w:val="both"/>
        <w:rPr>
          <w:sz w:val="32"/>
          <w:szCs w:val="32"/>
          <w:lang w:val="kk-KZ"/>
        </w:rPr>
      </w:pPr>
      <w:r w:rsidRPr="00BA6666">
        <w:rPr>
          <w:sz w:val="32"/>
          <w:szCs w:val="32"/>
          <w:lang w:val="kk-KZ"/>
        </w:rPr>
        <w:t xml:space="preserve">Компанияның бренд портфолиосын құру үшін бренд архитектурасы болып табылатын ұйымдастырушы құрылымды құру қажет. </w:t>
      </w:r>
      <w:r w:rsidRPr="00880C98">
        <w:rPr>
          <w:sz w:val="32"/>
          <w:szCs w:val="32"/>
          <w:lang w:val="kk-KZ"/>
        </w:rPr>
        <w:t>Бренд архитектурасы компанияның маркетингтік стратегиясын, бренд портфолиосының тұтынушылық нарықтармен байланысын көрсетеді, сонымен қатар бренд портфолиосына кіретін брендтерді иерархиялық құрылымда орналастырады.</w:t>
      </w:r>
    </w:p>
    <w:p w:rsidR="00DD1B21" w:rsidRPr="00880C98" w:rsidRDefault="00DD1B21" w:rsidP="00DD1B21">
      <w:pPr>
        <w:ind w:firstLine="567"/>
        <w:jc w:val="both"/>
        <w:rPr>
          <w:sz w:val="32"/>
          <w:szCs w:val="32"/>
          <w:lang w:val="kk-KZ"/>
        </w:rPr>
      </w:pPr>
      <w:r w:rsidRPr="00880C98">
        <w:rPr>
          <w:sz w:val="32"/>
          <w:szCs w:val="32"/>
          <w:lang w:val="kk-KZ"/>
        </w:rPr>
        <w:t>Бренд архитектурасындағы әрбір деңгей бір-бірімен тығыз байланысты, әрбір брендке бренд портфолиосының жалпы жүйесінде рөл беріледі.</w:t>
      </w:r>
    </w:p>
    <w:p w:rsidR="00DD1B21" w:rsidRPr="00880C98" w:rsidRDefault="00DD1B21" w:rsidP="00DD1B21">
      <w:pPr>
        <w:ind w:firstLine="567"/>
        <w:jc w:val="both"/>
        <w:rPr>
          <w:sz w:val="32"/>
          <w:szCs w:val="32"/>
          <w:lang w:val="kk-KZ"/>
        </w:rPr>
      </w:pPr>
    </w:p>
    <w:p w:rsidR="00DD1B21" w:rsidRPr="00BA6666" w:rsidRDefault="00DD1B21" w:rsidP="00DD1B21">
      <w:pPr>
        <w:ind w:firstLine="567"/>
        <w:jc w:val="both"/>
        <w:rPr>
          <w:sz w:val="32"/>
          <w:szCs w:val="32"/>
          <w:lang w:val="en-US"/>
        </w:rPr>
      </w:pPr>
      <w:r>
        <w:rPr>
          <w:noProof/>
          <w:sz w:val="32"/>
          <w:szCs w:val="32"/>
        </w:rPr>
        <w:drawing>
          <wp:inline distT="0" distB="0" distL="0" distR="0">
            <wp:extent cx="5347335" cy="1936115"/>
            <wp:effectExtent l="38100" t="0" r="62865" b="0"/>
            <wp:docPr id="2"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DD1B21" w:rsidRDefault="00DD1B21" w:rsidP="00DD1B21">
      <w:pPr>
        <w:jc w:val="center"/>
        <w:rPr>
          <w:sz w:val="32"/>
          <w:szCs w:val="32"/>
          <w:lang w:val="kk-KZ"/>
        </w:rPr>
      </w:pPr>
    </w:p>
    <w:p w:rsidR="00DD1B21" w:rsidRPr="00902504" w:rsidRDefault="00DD1B21" w:rsidP="00DD1B21">
      <w:pPr>
        <w:ind w:firstLine="709"/>
        <w:jc w:val="center"/>
        <w:rPr>
          <w:b/>
          <w:sz w:val="28"/>
          <w:szCs w:val="28"/>
          <w:lang w:val="kk-KZ"/>
        </w:rPr>
      </w:pPr>
      <w:r>
        <w:rPr>
          <w:b/>
          <w:sz w:val="28"/>
          <w:szCs w:val="28"/>
          <w:lang w:val="kk-KZ"/>
        </w:rPr>
        <w:t>Сурет</w:t>
      </w:r>
      <w:r w:rsidRPr="00DD1B21">
        <w:rPr>
          <w:b/>
          <w:sz w:val="28"/>
          <w:szCs w:val="28"/>
          <w:lang w:val="kk-KZ"/>
        </w:rPr>
        <w:t xml:space="preserve"> 1</w:t>
      </w:r>
      <w:r w:rsidRPr="00902504">
        <w:rPr>
          <w:b/>
          <w:sz w:val="28"/>
          <w:szCs w:val="28"/>
          <w:lang w:val="kk-KZ"/>
        </w:rPr>
        <w:t xml:space="preserve"> –</w:t>
      </w:r>
      <w:r>
        <w:rPr>
          <w:b/>
          <w:sz w:val="28"/>
          <w:szCs w:val="28"/>
          <w:lang w:val="kk-KZ"/>
        </w:rPr>
        <w:t xml:space="preserve"> Бренд архитектурасы</w:t>
      </w:r>
    </w:p>
    <w:p w:rsidR="00DD1B21" w:rsidRDefault="00DD1B21" w:rsidP="00DD1B21">
      <w:pPr>
        <w:jc w:val="center"/>
        <w:rPr>
          <w:b/>
          <w:sz w:val="28"/>
          <w:szCs w:val="28"/>
          <w:lang w:val="kk-KZ"/>
        </w:rPr>
      </w:pPr>
    </w:p>
    <w:p w:rsidR="00DD1B21" w:rsidRPr="00DD1B21" w:rsidRDefault="00DD1B21" w:rsidP="00DD1B21">
      <w:pPr>
        <w:ind w:firstLine="567"/>
        <w:jc w:val="both"/>
        <w:rPr>
          <w:sz w:val="32"/>
          <w:szCs w:val="32"/>
          <w:lang w:val="kk-KZ"/>
        </w:rPr>
      </w:pPr>
    </w:p>
    <w:p w:rsidR="00DD1B21" w:rsidRDefault="00DD1B21" w:rsidP="00DD1B21">
      <w:pPr>
        <w:ind w:firstLine="567"/>
        <w:jc w:val="both"/>
        <w:rPr>
          <w:sz w:val="32"/>
          <w:szCs w:val="32"/>
          <w:lang w:val="kk-KZ"/>
        </w:rPr>
      </w:pPr>
      <w:r w:rsidRPr="00DD1B21">
        <w:rPr>
          <w:sz w:val="32"/>
          <w:szCs w:val="32"/>
          <w:lang w:val="kk-KZ"/>
        </w:rPr>
        <w:t>Д.Аакер брендтердің төрт деңгейлі иерархиясын жасады</w:t>
      </w:r>
      <w:r>
        <w:rPr>
          <w:sz w:val="32"/>
          <w:szCs w:val="32"/>
          <w:lang w:val="kk-KZ"/>
        </w:rPr>
        <w:t>.</w:t>
      </w:r>
    </w:p>
    <w:p w:rsidR="00DD1B21" w:rsidRPr="00DD1B21" w:rsidRDefault="00DD1B21" w:rsidP="00DD1B21">
      <w:pPr>
        <w:jc w:val="both"/>
        <w:rPr>
          <w:sz w:val="32"/>
          <w:szCs w:val="32"/>
          <w:lang w:val="kk-KZ"/>
        </w:rPr>
      </w:pPr>
      <w:r w:rsidRPr="00DD1B21">
        <w:rPr>
          <w:sz w:val="32"/>
          <w:szCs w:val="32"/>
          <w:lang w:val="kk-KZ"/>
        </w:rPr>
        <w:t>Бірінші деңгей өнімнің/қызметтің артында тұрған компанияны анықтауды сипаттайды.</w:t>
      </w:r>
    </w:p>
    <w:p w:rsidR="00DD1B21" w:rsidRPr="00DD1B21" w:rsidRDefault="00DD1B21" w:rsidP="00DD1B21">
      <w:pPr>
        <w:jc w:val="both"/>
        <w:rPr>
          <w:sz w:val="32"/>
          <w:szCs w:val="32"/>
          <w:lang w:val="kk-KZ"/>
        </w:rPr>
      </w:pPr>
      <w:r w:rsidRPr="00DD1B21">
        <w:rPr>
          <w:sz w:val="32"/>
          <w:szCs w:val="32"/>
          <w:lang w:val="kk-KZ"/>
        </w:rPr>
        <w:t>Екінші деңгей әртүрлі тауарлардың сыныптарын сипаттайды.</w:t>
      </w:r>
    </w:p>
    <w:p w:rsidR="00DD1B21" w:rsidRPr="00DD1B21" w:rsidRDefault="00DD1B21" w:rsidP="00DD1B21">
      <w:pPr>
        <w:jc w:val="both"/>
        <w:rPr>
          <w:sz w:val="32"/>
          <w:szCs w:val="32"/>
          <w:lang w:val="kk-KZ"/>
        </w:rPr>
      </w:pPr>
      <w:r w:rsidRPr="00DD1B21">
        <w:rPr>
          <w:sz w:val="32"/>
          <w:szCs w:val="32"/>
          <w:lang w:val="kk-KZ"/>
        </w:rPr>
        <w:t>Үшінші деңгейде кәсіпорын өнімдерінің сипаттамасы беріледі.</w:t>
      </w:r>
    </w:p>
    <w:p w:rsidR="00DD1B21" w:rsidRDefault="00DD1B21" w:rsidP="00DD1B21">
      <w:pPr>
        <w:jc w:val="both"/>
        <w:rPr>
          <w:sz w:val="32"/>
          <w:szCs w:val="32"/>
          <w:lang w:val="kk-KZ"/>
        </w:rPr>
      </w:pPr>
      <w:r w:rsidRPr="00DD1B21">
        <w:rPr>
          <w:sz w:val="32"/>
          <w:szCs w:val="32"/>
          <w:lang w:val="kk-KZ"/>
        </w:rPr>
        <w:t>Төртінші деңгей суббрендтердің негізгі брендпен байланысын көрсетеді.</w:t>
      </w:r>
    </w:p>
    <w:p w:rsidR="004E6545" w:rsidRDefault="00DD1B21" w:rsidP="00DD1B21">
      <w:pPr>
        <w:ind w:firstLine="567"/>
        <w:jc w:val="both"/>
        <w:rPr>
          <w:color w:val="000000"/>
          <w:sz w:val="32"/>
          <w:szCs w:val="32"/>
          <w:lang w:val="kk-KZ"/>
        </w:rPr>
      </w:pPr>
      <w:r w:rsidRPr="00DD1B21">
        <w:rPr>
          <w:color w:val="000000"/>
          <w:sz w:val="32"/>
          <w:szCs w:val="32"/>
          <w:lang w:val="kk-KZ"/>
        </w:rPr>
        <w:lastRenderedPageBreak/>
        <w:t>Біз белгілі бір брендті жобалағанда немесе кез келген брендтік жобаны жүзеге асырғанда, біз оны барынша мұқият және ұйымшылдықпен әзірлеу қажеттілігіне жиі тап боламыз. Осы себепті, біз әдетте бренд нарығында табатын дизайндардың көпшілігі физикалық немесе психологиялық сипаттамаларына сәйкес бөлінеді.</w:t>
      </w:r>
    </w:p>
    <w:p w:rsidR="00DD1B21" w:rsidRPr="00DD1B21" w:rsidRDefault="00DD1B21" w:rsidP="00DD1B21">
      <w:pPr>
        <w:ind w:firstLine="567"/>
        <w:jc w:val="both"/>
        <w:rPr>
          <w:color w:val="000000"/>
          <w:sz w:val="32"/>
          <w:szCs w:val="32"/>
          <w:lang w:val="kk-KZ"/>
        </w:rPr>
      </w:pPr>
      <w:r w:rsidRPr="00DD1B21">
        <w:rPr>
          <w:color w:val="000000"/>
          <w:sz w:val="32"/>
          <w:szCs w:val="32"/>
          <w:lang w:val="kk-KZ"/>
        </w:rPr>
        <w:t>Бренд архитектурасы ретінде анықталады</w:t>
      </w:r>
      <w:r w:rsidRPr="00DD1B21">
        <w:rPr>
          <w:rStyle w:val="aa"/>
          <w:color w:val="000000"/>
          <w:sz w:val="32"/>
          <w:szCs w:val="32"/>
          <w:bdr w:val="none" w:sz="0" w:space="0" w:color="auto" w:frame="1"/>
          <w:lang w:val="kk-KZ"/>
        </w:rPr>
        <w:t> бренд өз тұтынушыларының санасына таңуға болатын логикалық тәртіпті бейнелеу</w:t>
      </w:r>
      <w:r w:rsidRPr="00DD1B21">
        <w:rPr>
          <w:color w:val="000000"/>
          <w:sz w:val="32"/>
          <w:szCs w:val="32"/>
          <w:lang w:val="kk-KZ"/>
        </w:rPr>
        <w:t>. Осылайша, компанияны нарықта құрылымдауға және оны барынша үлгілі түрде орналастыруға болады.</w:t>
      </w:r>
    </w:p>
    <w:p w:rsidR="00DD1B21" w:rsidRPr="00DD1B21" w:rsidRDefault="00DD1B21" w:rsidP="00DD1B21">
      <w:pPr>
        <w:pStyle w:val="gt-block"/>
        <w:spacing w:before="0" w:beforeAutospacing="0" w:after="0" w:afterAutospacing="0"/>
        <w:ind w:firstLine="567"/>
        <w:jc w:val="both"/>
        <w:textAlignment w:val="baseline"/>
        <w:rPr>
          <w:color w:val="000000"/>
          <w:sz w:val="32"/>
          <w:szCs w:val="32"/>
          <w:lang w:val="kk-KZ"/>
        </w:rPr>
      </w:pPr>
      <w:r w:rsidRPr="00DD1B21">
        <w:rPr>
          <w:color w:val="000000"/>
          <w:sz w:val="32"/>
          <w:szCs w:val="32"/>
          <w:lang w:val="kk-KZ"/>
        </w:rPr>
        <w:t>Ол сондай-ақ стратегия немесе шығармашылық жоспар ретінде анықталады және белгілі, өйткені осылайша, </w:t>
      </w:r>
      <w:r w:rsidRPr="00DD1B21">
        <w:rPr>
          <w:rStyle w:val="aa"/>
          <w:color w:val="000000"/>
          <w:sz w:val="32"/>
          <w:szCs w:val="32"/>
          <w:bdr w:val="none" w:sz="0" w:space="0" w:color="auto" w:frame="1"/>
          <w:lang w:val="kk-KZ"/>
        </w:rPr>
        <w:t>біз өз брендімізді жақсырақ орналастыра алдық</w:t>
      </w:r>
      <w:r w:rsidRPr="00DD1B21">
        <w:rPr>
          <w:color w:val="000000"/>
          <w:sz w:val="32"/>
          <w:szCs w:val="32"/>
          <w:lang w:val="kk-KZ"/>
        </w:rPr>
        <w:t> әлдеқайда жылдам және оңай жолмен. Сол сияқты, біз өсіп қана қоймай, сонымен қатар мақсатты аудиториямыз біздің мақсаттарымызды жақсы біледі.</w:t>
      </w:r>
    </w:p>
    <w:p w:rsidR="00DD1B21" w:rsidRPr="00DD1B21" w:rsidRDefault="00DD1B21" w:rsidP="00DD1B21">
      <w:pPr>
        <w:pStyle w:val="a3"/>
        <w:spacing w:before="0" w:beforeAutospacing="0" w:after="0" w:afterAutospacing="0"/>
        <w:ind w:firstLine="567"/>
        <w:jc w:val="both"/>
        <w:textAlignment w:val="baseline"/>
        <w:rPr>
          <w:color w:val="000000"/>
          <w:sz w:val="32"/>
          <w:szCs w:val="32"/>
          <w:lang w:val="kk-KZ"/>
        </w:rPr>
      </w:pPr>
      <w:r w:rsidRPr="00DD1B21">
        <w:rPr>
          <w:color w:val="000000"/>
          <w:sz w:val="32"/>
          <w:szCs w:val="32"/>
          <w:lang w:val="kk-KZ"/>
        </w:rPr>
        <w:t>Осы себепті біз сәйкестендіру жобасын жүзеге асырған сайын оны есте ұстау өте маңызды. Көптеген уақыттан бері біз брендтерді бөлектеу үшін ешқандай контекстсіз, мақсаттарсыз, бұрынғы функцияларынсыз, басқаларға ұсынатын кескінсіз жасаймыз. Мұның бәрі бренд құрылымын негізгі тетік ретінде пайдаланған кезде жақсы жаққа өзгереді.</w:t>
      </w:r>
    </w:p>
    <w:p w:rsidR="00DD1B21" w:rsidRDefault="00DD1B21" w:rsidP="00DD1B21">
      <w:pPr>
        <w:ind w:firstLine="567"/>
        <w:jc w:val="both"/>
        <w:rPr>
          <w:sz w:val="32"/>
          <w:szCs w:val="32"/>
          <w:lang w:val="kk-KZ"/>
        </w:rPr>
      </w:pPr>
    </w:p>
    <w:p w:rsidR="00DD1B21" w:rsidRDefault="00DD1B21" w:rsidP="00DD1B21">
      <w:pPr>
        <w:ind w:firstLine="567"/>
        <w:jc w:val="center"/>
        <w:rPr>
          <w:sz w:val="32"/>
          <w:szCs w:val="32"/>
          <w:lang w:val="kk-KZ"/>
        </w:rPr>
      </w:pPr>
      <w:r>
        <w:rPr>
          <w:sz w:val="32"/>
          <w:szCs w:val="32"/>
          <w:lang w:val="kk-KZ"/>
        </w:rPr>
        <w:t>Бақылау сұрақтары:</w:t>
      </w:r>
    </w:p>
    <w:p w:rsidR="00DD1B21" w:rsidRDefault="00DD1B21" w:rsidP="00DD1B21">
      <w:pPr>
        <w:ind w:firstLine="567"/>
        <w:jc w:val="center"/>
        <w:rPr>
          <w:sz w:val="32"/>
          <w:szCs w:val="32"/>
          <w:lang w:val="kk-KZ"/>
        </w:rPr>
      </w:pPr>
    </w:p>
    <w:p w:rsidR="00DD1B21" w:rsidRPr="00DD1B21" w:rsidRDefault="00DD1B21" w:rsidP="00DD1B21">
      <w:pPr>
        <w:pStyle w:val="a4"/>
        <w:numPr>
          <w:ilvl w:val="0"/>
          <w:numId w:val="3"/>
        </w:numPr>
        <w:jc w:val="both"/>
        <w:rPr>
          <w:sz w:val="32"/>
          <w:szCs w:val="32"/>
          <w:lang w:val="kk-KZ"/>
        </w:rPr>
      </w:pPr>
      <w:r w:rsidRPr="00DD1B21">
        <w:rPr>
          <w:sz w:val="32"/>
          <w:szCs w:val="32"/>
          <w:lang w:val="kk-KZ"/>
        </w:rPr>
        <w:t>Бренд архитектурасы</w:t>
      </w:r>
    </w:p>
    <w:p w:rsidR="00DD1B21" w:rsidRPr="00DD1B21" w:rsidRDefault="00DD1B21" w:rsidP="00DD1B21">
      <w:pPr>
        <w:pStyle w:val="a4"/>
        <w:numPr>
          <w:ilvl w:val="0"/>
          <w:numId w:val="3"/>
        </w:numPr>
        <w:jc w:val="both"/>
        <w:rPr>
          <w:sz w:val="32"/>
          <w:szCs w:val="32"/>
          <w:lang w:val="kk-KZ"/>
        </w:rPr>
      </w:pPr>
      <w:r w:rsidRPr="00DD1B21">
        <w:rPr>
          <w:sz w:val="32"/>
          <w:szCs w:val="32"/>
          <w:lang w:val="kk-KZ"/>
        </w:rPr>
        <w:t>Бренд архитектурасының құраушы элементтері</w:t>
      </w:r>
    </w:p>
    <w:p w:rsidR="00DD1B21" w:rsidRPr="00DD1B21" w:rsidRDefault="00DD1B21" w:rsidP="00DD1B21">
      <w:pPr>
        <w:pStyle w:val="a4"/>
        <w:numPr>
          <w:ilvl w:val="0"/>
          <w:numId w:val="3"/>
        </w:numPr>
        <w:rPr>
          <w:sz w:val="32"/>
          <w:szCs w:val="32"/>
          <w:lang w:val="kk-KZ"/>
        </w:rPr>
      </w:pPr>
      <w:r w:rsidRPr="00DD1B21">
        <w:rPr>
          <w:sz w:val="32"/>
          <w:szCs w:val="32"/>
          <w:lang w:val="kk-KZ"/>
        </w:rPr>
        <w:t>Д. Аакер бойынша бренд архитектурасы</w:t>
      </w:r>
    </w:p>
    <w:sectPr w:rsidR="00DD1B21" w:rsidRPr="00DD1B21" w:rsidSect="004E65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9B5" w:rsidRDefault="00AD69B5" w:rsidP="00653FAC">
      <w:r>
        <w:separator/>
      </w:r>
    </w:p>
  </w:endnote>
  <w:endnote w:type="continuationSeparator" w:id="0">
    <w:p w:rsidR="00AD69B5" w:rsidRDefault="00AD69B5" w:rsidP="00653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9B5" w:rsidRDefault="00AD69B5" w:rsidP="00653FAC">
      <w:r>
        <w:separator/>
      </w:r>
    </w:p>
  </w:footnote>
  <w:footnote w:type="continuationSeparator" w:id="0">
    <w:p w:rsidR="00AD69B5" w:rsidRDefault="00AD69B5" w:rsidP="00653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04D"/>
    <w:multiLevelType w:val="multilevel"/>
    <w:tmpl w:val="42DC525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2E76299"/>
    <w:multiLevelType w:val="hybridMultilevel"/>
    <w:tmpl w:val="B6964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805F89"/>
    <w:multiLevelType w:val="hybridMultilevel"/>
    <w:tmpl w:val="BB925B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footnotePr>
    <w:footnote w:id="-1"/>
    <w:footnote w:id="0"/>
  </w:footnotePr>
  <w:endnotePr>
    <w:endnote w:id="-1"/>
    <w:endnote w:id="0"/>
  </w:endnotePr>
  <w:compat/>
  <w:rsids>
    <w:rsidRoot w:val="00653FAC"/>
    <w:rsid w:val="004961C1"/>
    <w:rsid w:val="004E6545"/>
    <w:rsid w:val="00653FAC"/>
    <w:rsid w:val="00765A71"/>
    <w:rsid w:val="00AD69B5"/>
    <w:rsid w:val="00DD1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F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3FAC"/>
    <w:pPr>
      <w:spacing w:before="100" w:beforeAutospacing="1" w:after="100" w:afterAutospacing="1"/>
    </w:pPr>
  </w:style>
  <w:style w:type="paragraph" w:styleId="a4">
    <w:name w:val="List Paragraph"/>
    <w:basedOn w:val="a"/>
    <w:uiPriority w:val="34"/>
    <w:qFormat/>
    <w:rsid w:val="00653FAC"/>
    <w:pPr>
      <w:ind w:left="708"/>
    </w:pPr>
  </w:style>
  <w:style w:type="character" w:customStyle="1" w:styleId="s0">
    <w:name w:val="s0"/>
    <w:rsid w:val="00653FAC"/>
  </w:style>
  <w:style w:type="paragraph" w:styleId="a5">
    <w:name w:val="footnote text"/>
    <w:basedOn w:val="a"/>
    <w:link w:val="a6"/>
    <w:rsid w:val="00653FAC"/>
    <w:rPr>
      <w:sz w:val="20"/>
      <w:szCs w:val="20"/>
    </w:rPr>
  </w:style>
  <w:style w:type="character" w:customStyle="1" w:styleId="a6">
    <w:name w:val="Текст сноски Знак"/>
    <w:basedOn w:val="a0"/>
    <w:link w:val="a5"/>
    <w:rsid w:val="00653FAC"/>
    <w:rPr>
      <w:rFonts w:ascii="Times New Roman" w:eastAsia="Times New Roman" w:hAnsi="Times New Roman" w:cs="Times New Roman"/>
      <w:sz w:val="20"/>
      <w:szCs w:val="20"/>
      <w:lang w:eastAsia="ru-RU"/>
    </w:rPr>
  </w:style>
  <w:style w:type="character" w:styleId="a7">
    <w:name w:val="footnote reference"/>
    <w:rsid w:val="00653FAC"/>
    <w:rPr>
      <w:vertAlign w:val="superscript"/>
    </w:rPr>
  </w:style>
  <w:style w:type="paragraph" w:styleId="a8">
    <w:name w:val="Balloon Text"/>
    <w:basedOn w:val="a"/>
    <w:link w:val="a9"/>
    <w:uiPriority w:val="99"/>
    <w:semiHidden/>
    <w:unhideWhenUsed/>
    <w:rsid w:val="00653FAC"/>
    <w:rPr>
      <w:rFonts w:ascii="Tahoma" w:hAnsi="Tahoma" w:cs="Tahoma"/>
      <w:sz w:val="16"/>
      <w:szCs w:val="16"/>
    </w:rPr>
  </w:style>
  <w:style w:type="character" w:customStyle="1" w:styleId="a9">
    <w:name w:val="Текст выноски Знак"/>
    <w:basedOn w:val="a0"/>
    <w:link w:val="a8"/>
    <w:uiPriority w:val="99"/>
    <w:semiHidden/>
    <w:rsid w:val="00653FAC"/>
    <w:rPr>
      <w:rFonts w:ascii="Tahoma" w:eastAsia="Times New Roman" w:hAnsi="Tahoma" w:cs="Tahoma"/>
      <w:sz w:val="16"/>
      <w:szCs w:val="16"/>
      <w:lang w:eastAsia="ru-RU"/>
    </w:rPr>
  </w:style>
  <w:style w:type="character" w:styleId="aa">
    <w:name w:val="Strong"/>
    <w:basedOn w:val="a0"/>
    <w:uiPriority w:val="22"/>
    <w:qFormat/>
    <w:rsid w:val="00DD1B21"/>
    <w:rPr>
      <w:b/>
      <w:bCs/>
    </w:rPr>
  </w:style>
  <w:style w:type="paragraph" w:customStyle="1" w:styleId="gt-block">
    <w:name w:val="gt-block"/>
    <w:basedOn w:val="a"/>
    <w:rsid w:val="00DD1B2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114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F4A480-E484-406E-A257-DD7186EE734A}" type="doc">
      <dgm:prSet loTypeId="urn:microsoft.com/office/officeart/2005/8/layout/orgChart1" loCatId="hierarchy" qsTypeId="urn:microsoft.com/office/officeart/2005/8/quickstyle/simple1" qsCatId="simple" csTypeId="urn:microsoft.com/office/officeart/2005/8/colors/accent1_2" csCatId="accent1" phldr="1"/>
      <dgm:spPr/>
    </dgm:pt>
    <dgm:pt modelId="{0ADCEFE7-4708-4C8D-A208-717AD5168B52}">
      <dgm:prSet/>
      <dgm:spPr>
        <a:solidFill>
          <a:schemeClr val="bg1"/>
        </a:solidFill>
      </dgm:spPr>
      <dgm:t>
        <a:bodyPr/>
        <a:lstStyle/>
        <a:p>
          <a:pPr marR="0" algn="ctr" rtl="0"/>
          <a:r>
            <a:rPr lang="ru-RU" b="1" smtClean="0">
              <a:solidFill>
                <a:sysClr val="windowText" lastClr="000000"/>
              </a:solidFill>
              <a:latin typeface="Times New Roman" pitchFamily="18" charset="0"/>
              <a:cs typeface="Times New Roman" pitchFamily="18" charset="0"/>
            </a:rPr>
            <a:t>Бренд архитектурасы</a:t>
          </a:r>
        </a:p>
      </dgm:t>
    </dgm:pt>
    <dgm:pt modelId="{0A02C03D-0DBE-4A9B-BDBA-71111740AF8B}" type="parTrans" cxnId="{4DE53A79-A226-4B8F-A3B1-12C26AF36B01}">
      <dgm:prSet/>
      <dgm:spPr/>
    </dgm:pt>
    <dgm:pt modelId="{4DDE47AA-8C79-4B63-BFAC-DCF76C37CB1F}" type="sibTrans" cxnId="{4DE53A79-A226-4B8F-A3B1-12C26AF36B01}">
      <dgm:prSet/>
      <dgm:spPr/>
    </dgm:pt>
    <dgm:pt modelId="{86206298-3CDC-466F-A95F-F8C84BE53EE4}">
      <dgm:prSet/>
      <dgm:spPr>
        <a:solidFill>
          <a:schemeClr val="bg1"/>
        </a:solidFill>
      </dgm:spPr>
      <dgm:t>
        <a:bodyPr/>
        <a:lstStyle/>
        <a:p>
          <a:pPr marR="0" algn="ctr" rtl="0"/>
          <a:r>
            <a:rPr lang="ru-RU" b="1" baseline="0" smtClean="0">
              <a:solidFill>
                <a:sysClr val="windowText" lastClr="000000"/>
              </a:solidFill>
              <a:latin typeface="Times New Roman" pitchFamily="18" charset="0"/>
              <a:cs typeface="Times New Roman" pitchFamily="18" charset="0"/>
            </a:rPr>
            <a:t>Топтар бойынша брендтерді анықтау</a:t>
          </a:r>
        </a:p>
      </dgm:t>
    </dgm:pt>
    <dgm:pt modelId="{BADD51F6-394E-44B9-87F2-68D76B0CEECD}" type="parTrans" cxnId="{63BE1E73-45B3-4146-AFC2-C43A6A52D753}">
      <dgm:prSet/>
      <dgm:spPr/>
    </dgm:pt>
    <dgm:pt modelId="{A83E303B-FBFB-48BC-A1BC-9DB0C53868B8}" type="sibTrans" cxnId="{63BE1E73-45B3-4146-AFC2-C43A6A52D753}">
      <dgm:prSet/>
      <dgm:spPr/>
    </dgm:pt>
    <dgm:pt modelId="{94376037-219B-4526-96EF-99E1A8DA3AC3}">
      <dgm:prSet/>
      <dgm:spPr>
        <a:solidFill>
          <a:schemeClr val="bg1"/>
        </a:solidFill>
      </dgm:spPr>
      <dgm:t>
        <a:bodyPr/>
        <a:lstStyle/>
        <a:p>
          <a:pPr marR="0" algn="ctr" rtl="0"/>
          <a:r>
            <a:rPr lang="ru-RU" b="1" baseline="0" smtClean="0">
              <a:solidFill>
                <a:sysClr val="windowText" lastClr="000000"/>
              </a:solidFill>
              <a:latin typeface="Times New Roman" pitchFamily="18" charset="0"/>
              <a:cs typeface="Times New Roman" pitchFamily="18" charset="0"/>
            </a:rPr>
            <a:t>Иерархиялық бренд ағашын құру</a:t>
          </a:r>
        </a:p>
      </dgm:t>
    </dgm:pt>
    <dgm:pt modelId="{0D455812-6158-4667-8189-87BCF414EBC9}" type="parTrans" cxnId="{5EE17366-E5E6-413F-83CC-2EBFDA6BC2AC}">
      <dgm:prSet/>
      <dgm:spPr/>
    </dgm:pt>
    <dgm:pt modelId="{F71A94A8-DA3C-4B8C-8D3C-06C4DD3CD35E}" type="sibTrans" cxnId="{5EE17366-E5E6-413F-83CC-2EBFDA6BC2AC}">
      <dgm:prSet/>
      <dgm:spPr/>
    </dgm:pt>
    <dgm:pt modelId="{2B3CF7EF-1C53-436E-A5EA-524FA5E2F156}">
      <dgm:prSet/>
      <dgm:spPr>
        <a:solidFill>
          <a:schemeClr val="bg1"/>
        </a:solidFill>
      </dgm:spPr>
      <dgm:t>
        <a:bodyPr/>
        <a:lstStyle/>
        <a:p>
          <a:pPr marR="0" algn="ctr" rtl="0"/>
          <a:r>
            <a:rPr lang="ru-RU" b="1" baseline="0" smtClean="0">
              <a:solidFill>
                <a:sysClr val="windowText" lastClr="000000"/>
              </a:solidFill>
              <a:latin typeface="Times New Roman" pitchFamily="18" charset="0"/>
              <a:cs typeface="Times New Roman" pitchFamily="18" charset="0"/>
            </a:rPr>
            <a:t>Бренд ассортиментінің сипаттамасы</a:t>
          </a:r>
        </a:p>
      </dgm:t>
    </dgm:pt>
    <dgm:pt modelId="{1C479D3A-E88C-44BB-A68A-53C291E10E1D}" type="parTrans" cxnId="{269B1AA1-86CE-4F38-BC35-47ACC52E7C2D}">
      <dgm:prSet/>
      <dgm:spPr/>
    </dgm:pt>
    <dgm:pt modelId="{74D8F4E3-08CA-4E2E-8D74-8A64C6188FCE}" type="sibTrans" cxnId="{269B1AA1-86CE-4F38-BC35-47ACC52E7C2D}">
      <dgm:prSet/>
      <dgm:spPr/>
    </dgm:pt>
    <dgm:pt modelId="{D5C0A7BF-0F1C-44BB-BBBC-E13A52F0CD96}" type="pres">
      <dgm:prSet presAssocID="{41F4A480-E484-406E-A257-DD7186EE734A}" presName="hierChild1" presStyleCnt="0">
        <dgm:presLayoutVars>
          <dgm:orgChart val="1"/>
          <dgm:chPref val="1"/>
          <dgm:dir/>
          <dgm:animOne val="branch"/>
          <dgm:animLvl val="lvl"/>
          <dgm:resizeHandles/>
        </dgm:presLayoutVars>
      </dgm:prSet>
      <dgm:spPr/>
    </dgm:pt>
    <dgm:pt modelId="{9004E95D-0AB4-42A7-9D7F-EDA3AF64E51C}" type="pres">
      <dgm:prSet presAssocID="{0ADCEFE7-4708-4C8D-A208-717AD5168B52}" presName="hierRoot1" presStyleCnt="0">
        <dgm:presLayoutVars>
          <dgm:hierBranch/>
        </dgm:presLayoutVars>
      </dgm:prSet>
      <dgm:spPr/>
    </dgm:pt>
    <dgm:pt modelId="{924B2A23-5506-4FB0-8311-AAE2552BA06D}" type="pres">
      <dgm:prSet presAssocID="{0ADCEFE7-4708-4C8D-A208-717AD5168B52}" presName="rootComposite1" presStyleCnt="0"/>
      <dgm:spPr/>
    </dgm:pt>
    <dgm:pt modelId="{F72009B2-07D4-46B3-B8A0-4B81CBAE9BDD}" type="pres">
      <dgm:prSet presAssocID="{0ADCEFE7-4708-4C8D-A208-717AD5168B52}" presName="rootText1" presStyleLbl="node0" presStyleIdx="0" presStyleCnt="1">
        <dgm:presLayoutVars>
          <dgm:chPref val="3"/>
        </dgm:presLayoutVars>
      </dgm:prSet>
      <dgm:spPr/>
      <dgm:t>
        <a:bodyPr/>
        <a:lstStyle/>
        <a:p>
          <a:endParaRPr lang="ru-RU"/>
        </a:p>
      </dgm:t>
    </dgm:pt>
    <dgm:pt modelId="{47C5ADFE-EE4A-4BBF-BB02-4B5CF7C0F4A4}" type="pres">
      <dgm:prSet presAssocID="{0ADCEFE7-4708-4C8D-A208-717AD5168B52}" presName="rootConnector1" presStyleLbl="node1" presStyleIdx="0" presStyleCnt="0"/>
      <dgm:spPr/>
      <dgm:t>
        <a:bodyPr/>
        <a:lstStyle/>
        <a:p>
          <a:endParaRPr lang="ru-RU"/>
        </a:p>
      </dgm:t>
    </dgm:pt>
    <dgm:pt modelId="{861AB391-9E4C-4555-89F5-77A97E683B91}" type="pres">
      <dgm:prSet presAssocID="{0ADCEFE7-4708-4C8D-A208-717AD5168B52}" presName="hierChild2" presStyleCnt="0"/>
      <dgm:spPr/>
    </dgm:pt>
    <dgm:pt modelId="{EC01BF3A-A76D-4F74-86AF-25C4396AD064}" type="pres">
      <dgm:prSet presAssocID="{BADD51F6-394E-44B9-87F2-68D76B0CEECD}" presName="Name35" presStyleLbl="parChTrans1D2" presStyleIdx="0" presStyleCnt="3"/>
      <dgm:spPr/>
    </dgm:pt>
    <dgm:pt modelId="{30241005-76BB-49EE-A6EC-3E68CE070782}" type="pres">
      <dgm:prSet presAssocID="{86206298-3CDC-466F-A95F-F8C84BE53EE4}" presName="hierRoot2" presStyleCnt="0">
        <dgm:presLayoutVars>
          <dgm:hierBranch/>
        </dgm:presLayoutVars>
      </dgm:prSet>
      <dgm:spPr/>
    </dgm:pt>
    <dgm:pt modelId="{2E75F45F-C38D-42AC-9B9F-AEABE3A286CB}" type="pres">
      <dgm:prSet presAssocID="{86206298-3CDC-466F-A95F-F8C84BE53EE4}" presName="rootComposite" presStyleCnt="0"/>
      <dgm:spPr/>
    </dgm:pt>
    <dgm:pt modelId="{5573677B-90C0-4A56-8925-D18CD6E677DF}" type="pres">
      <dgm:prSet presAssocID="{86206298-3CDC-466F-A95F-F8C84BE53EE4}" presName="rootText" presStyleLbl="node2" presStyleIdx="0" presStyleCnt="3">
        <dgm:presLayoutVars>
          <dgm:chPref val="3"/>
        </dgm:presLayoutVars>
      </dgm:prSet>
      <dgm:spPr/>
      <dgm:t>
        <a:bodyPr/>
        <a:lstStyle/>
        <a:p>
          <a:endParaRPr lang="ru-RU"/>
        </a:p>
      </dgm:t>
    </dgm:pt>
    <dgm:pt modelId="{A5B30525-9EEE-4992-A70F-1890F0CCD5DC}" type="pres">
      <dgm:prSet presAssocID="{86206298-3CDC-466F-A95F-F8C84BE53EE4}" presName="rootConnector" presStyleLbl="node2" presStyleIdx="0" presStyleCnt="3"/>
      <dgm:spPr/>
      <dgm:t>
        <a:bodyPr/>
        <a:lstStyle/>
        <a:p>
          <a:endParaRPr lang="ru-RU"/>
        </a:p>
      </dgm:t>
    </dgm:pt>
    <dgm:pt modelId="{B0ED4C78-562E-4B8B-8305-E3C228273662}" type="pres">
      <dgm:prSet presAssocID="{86206298-3CDC-466F-A95F-F8C84BE53EE4}" presName="hierChild4" presStyleCnt="0"/>
      <dgm:spPr/>
    </dgm:pt>
    <dgm:pt modelId="{74D4F20B-7D40-4BBD-8FD9-5A72FBD66A23}" type="pres">
      <dgm:prSet presAssocID="{86206298-3CDC-466F-A95F-F8C84BE53EE4}" presName="hierChild5" presStyleCnt="0"/>
      <dgm:spPr/>
    </dgm:pt>
    <dgm:pt modelId="{3253E8F7-CB0A-4A42-91B5-5446A003D49E}" type="pres">
      <dgm:prSet presAssocID="{0D455812-6158-4667-8189-87BCF414EBC9}" presName="Name35" presStyleLbl="parChTrans1D2" presStyleIdx="1" presStyleCnt="3"/>
      <dgm:spPr/>
    </dgm:pt>
    <dgm:pt modelId="{75965B2D-E625-4974-AD27-48252B55F33C}" type="pres">
      <dgm:prSet presAssocID="{94376037-219B-4526-96EF-99E1A8DA3AC3}" presName="hierRoot2" presStyleCnt="0">
        <dgm:presLayoutVars>
          <dgm:hierBranch/>
        </dgm:presLayoutVars>
      </dgm:prSet>
      <dgm:spPr/>
    </dgm:pt>
    <dgm:pt modelId="{0E738E2A-F043-4F08-A411-A7E8929D856E}" type="pres">
      <dgm:prSet presAssocID="{94376037-219B-4526-96EF-99E1A8DA3AC3}" presName="rootComposite" presStyleCnt="0"/>
      <dgm:spPr/>
    </dgm:pt>
    <dgm:pt modelId="{136A2E78-5958-46DE-9813-D83081D6131A}" type="pres">
      <dgm:prSet presAssocID="{94376037-219B-4526-96EF-99E1A8DA3AC3}" presName="rootText" presStyleLbl="node2" presStyleIdx="1" presStyleCnt="3">
        <dgm:presLayoutVars>
          <dgm:chPref val="3"/>
        </dgm:presLayoutVars>
      </dgm:prSet>
      <dgm:spPr/>
      <dgm:t>
        <a:bodyPr/>
        <a:lstStyle/>
        <a:p>
          <a:endParaRPr lang="ru-RU"/>
        </a:p>
      </dgm:t>
    </dgm:pt>
    <dgm:pt modelId="{85CC13EB-9187-4E7E-9A84-BE4E921D233A}" type="pres">
      <dgm:prSet presAssocID="{94376037-219B-4526-96EF-99E1A8DA3AC3}" presName="rootConnector" presStyleLbl="node2" presStyleIdx="1" presStyleCnt="3"/>
      <dgm:spPr/>
      <dgm:t>
        <a:bodyPr/>
        <a:lstStyle/>
        <a:p>
          <a:endParaRPr lang="ru-RU"/>
        </a:p>
      </dgm:t>
    </dgm:pt>
    <dgm:pt modelId="{2AC6B282-901B-4BE6-BA10-EACD0E997976}" type="pres">
      <dgm:prSet presAssocID="{94376037-219B-4526-96EF-99E1A8DA3AC3}" presName="hierChild4" presStyleCnt="0"/>
      <dgm:spPr/>
    </dgm:pt>
    <dgm:pt modelId="{B6BB1FDA-F365-4C36-A3D1-4EDB4120E1AF}" type="pres">
      <dgm:prSet presAssocID="{94376037-219B-4526-96EF-99E1A8DA3AC3}" presName="hierChild5" presStyleCnt="0"/>
      <dgm:spPr/>
    </dgm:pt>
    <dgm:pt modelId="{E4C0CDD2-2D8C-4D18-A450-AE3876732F8B}" type="pres">
      <dgm:prSet presAssocID="{1C479D3A-E88C-44BB-A68A-53C291E10E1D}" presName="Name35" presStyleLbl="parChTrans1D2" presStyleIdx="2" presStyleCnt="3"/>
      <dgm:spPr/>
    </dgm:pt>
    <dgm:pt modelId="{1BC2A698-6E42-468B-9559-C6893798A896}" type="pres">
      <dgm:prSet presAssocID="{2B3CF7EF-1C53-436E-A5EA-524FA5E2F156}" presName="hierRoot2" presStyleCnt="0">
        <dgm:presLayoutVars>
          <dgm:hierBranch/>
        </dgm:presLayoutVars>
      </dgm:prSet>
      <dgm:spPr/>
    </dgm:pt>
    <dgm:pt modelId="{60C6C473-6C58-42F3-8A3D-73EB705F0E8C}" type="pres">
      <dgm:prSet presAssocID="{2B3CF7EF-1C53-436E-A5EA-524FA5E2F156}" presName="rootComposite" presStyleCnt="0"/>
      <dgm:spPr/>
    </dgm:pt>
    <dgm:pt modelId="{301BBB7D-EF0E-4282-9659-E48EB92CC952}" type="pres">
      <dgm:prSet presAssocID="{2B3CF7EF-1C53-436E-A5EA-524FA5E2F156}" presName="rootText" presStyleLbl="node2" presStyleIdx="2" presStyleCnt="3">
        <dgm:presLayoutVars>
          <dgm:chPref val="3"/>
        </dgm:presLayoutVars>
      </dgm:prSet>
      <dgm:spPr/>
      <dgm:t>
        <a:bodyPr/>
        <a:lstStyle/>
        <a:p>
          <a:endParaRPr lang="ru-RU"/>
        </a:p>
      </dgm:t>
    </dgm:pt>
    <dgm:pt modelId="{C496E6BA-326A-4AB2-BC0A-D7CBAA7BE620}" type="pres">
      <dgm:prSet presAssocID="{2B3CF7EF-1C53-436E-A5EA-524FA5E2F156}" presName="rootConnector" presStyleLbl="node2" presStyleIdx="2" presStyleCnt="3"/>
      <dgm:spPr/>
      <dgm:t>
        <a:bodyPr/>
        <a:lstStyle/>
        <a:p>
          <a:endParaRPr lang="ru-RU"/>
        </a:p>
      </dgm:t>
    </dgm:pt>
    <dgm:pt modelId="{52163A45-5FE6-44B5-8BDE-F98704DD877B}" type="pres">
      <dgm:prSet presAssocID="{2B3CF7EF-1C53-436E-A5EA-524FA5E2F156}" presName="hierChild4" presStyleCnt="0"/>
      <dgm:spPr/>
    </dgm:pt>
    <dgm:pt modelId="{C8564911-5AEC-4300-BC73-4C994D33A99F}" type="pres">
      <dgm:prSet presAssocID="{2B3CF7EF-1C53-436E-A5EA-524FA5E2F156}" presName="hierChild5" presStyleCnt="0"/>
      <dgm:spPr/>
    </dgm:pt>
    <dgm:pt modelId="{B5885961-BAFD-42D7-AD66-360CDB8C3A62}" type="pres">
      <dgm:prSet presAssocID="{0ADCEFE7-4708-4C8D-A208-717AD5168B52}" presName="hierChild3" presStyleCnt="0"/>
      <dgm:spPr/>
    </dgm:pt>
  </dgm:ptLst>
  <dgm:cxnLst>
    <dgm:cxn modelId="{5EE17366-E5E6-413F-83CC-2EBFDA6BC2AC}" srcId="{0ADCEFE7-4708-4C8D-A208-717AD5168B52}" destId="{94376037-219B-4526-96EF-99E1A8DA3AC3}" srcOrd="1" destOrd="0" parTransId="{0D455812-6158-4667-8189-87BCF414EBC9}" sibTransId="{F71A94A8-DA3C-4B8C-8D3C-06C4DD3CD35E}"/>
    <dgm:cxn modelId="{20E7BCAE-A09F-42A7-A170-25E8B4A1D6B3}" type="presOf" srcId="{94376037-219B-4526-96EF-99E1A8DA3AC3}" destId="{136A2E78-5958-46DE-9813-D83081D6131A}" srcOrd="0" destOrd="0" presId="urn:microsoft.com/office/officeart/2005/8/layout/orgChart1"/>
    <dgm:cxn modelId="{475D11DB-5DFA-4845-B779-1556E6047C02}" type="presOf" srcId="{0ADCEFE7-4708-4C8D-A208-717AD5168B52}" destId="{47C5ADFE-EE4A-4BBF-BB02-4B5CF7C0F4A4}" srcOrd="1" destOrd="0" presId="urn:microsoft.com/office/officeart/2005/8/layout/orgChart1"/>
    <dgm:cxn modelId="{614E2CAC-C39C-4041-B291-FA2BC1F27BC4}" type="presOf" srcId="{0ADCEFE7-4708-4C8D-A208-717AD5168B52}" destId="{F72009B2-07D4-46B3-B8A0-4B81CBAE9BDD}" srcOrd="0" destOrd="0" presId="urn:microsoft.com/office/officeart/2005/8/layout/orgChart1"/>
    <dgm:cxn modelId="{CAD35404-E3E6-496D-A82D-46E22903F28B}" type="presOf" srcId="{1C479D3A-E88C-44BB-A68A-53C291E10E1D}" destId="{E4C0CDD2-2D8C-4D18-A450-AE3876732F8B}" srcOrd="0" destOrd="0" presId="urn:microsoft.com/office/officeart/2005/8/layout/orgChart1"/>
    <dgm:cxn modelId="{269B1AA1-86CE-4F38-BC35-47ACC52E7C2D}" srcId="{0ADCEFE7-4708-4C8D-A208-717AD5168B52}" destId="{2B3CF7EF-1C53-436E-A5EA-524FA5E2F156}" srcOrd="2" destOrd="0" parTransId="{1C479D3A-E88C-44BB-A68A-53C291E10E1D}" sibTransId="{74D8F4E3-08CA-4E2E-8D74-8A64C6188FCE}"/>
    <dgm:cxn modelId="{63BE1E73-45B3-4146-AFC2-C43A6A52D753}" srcId="{0ADCEFE7-4708-4C8D-A208-717AD5168B52}" destId="{86206298-3CDC-466F-A95F-F8C84BE53EE4}" srcOrd="0" destOrd="0" parTransId="{BADD51F6-394E-44B9-87F2-68D76B0CEECD}" sibTransId="{A83E303B-FBFB-48BC-A1BC-9DB0C53868B8}"/>
    <dgm:cxn modelId="{E08874C6-CBC0-43AF-8805-80E6EAAA0AAB}" type="presOf" srcId="{2B3CF7EF-1C53-436E-A5EA-524FA5E2F156}" destId="{301BBB7D-EF0E-4282-9659-E48EB92CC952}" srcOrd="0" destOrd="0" presId="urn:microsoft.com/office/officeart/2005/8/layout/orgChart1"/>
    <dgm:cxn modelId="{1C016869-E9F0-4528-AC9B-7452163B8FE2}" type="presOf" srcId="{2B3CF7EF-1C53-436E-A5EA-524FA5E2F156}" destId="{C496E6BA-326A-4AB2-BC0A-D7CBAA7BE620}" srcOrd="1" destOrd="0" presId="urn:microsoft.com/office/officeart/2005/8/layout/orgChart1"/>
    <dgm:cxn modelId="{1139E057-6751-4F25-9488-314116282BA3}" type="presOf" srcId="{86206298-3CDC-466F-A95F-F8C84BE53EE4}" destId="{5573677B-90C0-4A56-8925-D18CD6E677DF}" srcOrd="0" destOrd="0" presId="urn:microsoft.com/office/officeart/2005/8/layout/orgChart1"/>
    <dgm:cxn modelId="{ED179EB9-475F-4328-A883-1F760031DA98}" type="presOf" srcId="{0D455812-6158-4667-8189-87BCF414EBC9}" destId="{3253E8F7-CB0A-4A42-91B5-5446A003D49E}" srcOrd="0" destOrd="0" presId="urn:microsoft.com/office/officeart/2005/8/layout/orgChart1"/>
    <dgm:cxn modelId="{504034BE-EB62-4D4A-9E3B-9EA69758C788}" type="presOf" srcId="{41F4A480-E484-406E-A257-DD7186EE734A}" destId="{D5C0A7BF-0F1C-44BB-BBBC-E13A52F0CD96}" srcOrd="0" destOrd="0" presId="urn:microsoft.com/office/officeart/2005/8/layout/orgChart1"/>
    <dgm:cxn modelId="{4DE53A79-A226-4B8F-A3B1-12C26AF36B01}" srcId="{41F4A480-E484-406E-A257-DD7186EE734A}" destId="{0ADCEFE7-4708-4C8D-A208-717AD5168B52}" srcOrd="0" destOrd="0" parTransId="{0A02C03D-0DBE-4A9B-BDBA-71111740AF8B}" sibTransId="{4DDE47AA-8C79-4B63-BFAC-DCF76C37CB1F}"/>
    <dgm:cxn modelId="{BC3D8957-E657-4B46-8611-E214284074A9}" type="presOf" srcId="{86206298-3CDC-466F-A95F-F8C84BE53EE4}" destId="{A5B30525-9EEE-4992-A70F-1890F0CCD5DC}" srcOrd="1" destOrd="0" presId="urn:microsoft.com/office/officeart/2005/8/layout/orgChart1"/>
    <dgm:cxn modelId="{08902E5E-94E8-4DB2-9E84-EE188ADC2643}" type="presOf" srcId="{BADD51F6-394E-44B9-87F2-68D76B0CEECD}" destId="{EC01BF3A-A76D-4F74-86AF-25C4396AD064}" srcOrd="0" destOrd="0" presId="urn:microsoft.com/office/officeart/2005/8/layout/orgChart1"/>
    <dgm:cxn modelId="{86C3690E-B18D-44EC-9699-6FE67AC8EECD}" type="presOf" srcId="{94376037-219B-4526-96EF-99E1A8DA3AC3}" destId="{85CC13EB-9187-4E7E-9A84-BE4E921D233A}" srcOrd="1" destOrd="0" presId="urn:microsoft.com/office/officeart/2005/8/layout/orgChart1"/>
    <dgm:cxn modelId="{5D3FA899-3DC8-449A-AE2F-2DACF848F95D}" type="presParOf" srcId="{D5C0A7BF-0F1C-44BB-BBBC-E13A52F0CD96}" destId="{9004E95D-0AB4-42A7-9D7F-EDA3AF64E51C}" srcOrd="0" destOrd="0" presId="urn:microsoft.com/office/officeart/2005/8/layout/orgChart1"/>
    <dgm:cxn modelId="{908355E3-A820-4FF1-89F4-704FE690F1CB}" type="presParOf" srcId="{9004E95D-0AB4-42A7-9D7F-EDA3AF64E51C}" destId="{924B2A23-5506-4FB0-8311-AAE2552BA06D}" srcOrd="0" destOrd="0" presId="urn:microsoft.com/office/officeart/2005/8/layout/orgChart1"/>
    <dgm:cxn modelId="{97B36B6C-DB59-439B-8829-5C20EE0D5C31}" type="presParOf" srcId="{924B2A23-5506-4FB0-8311-AAE2552BA06D}" destId="{F72009B2-07D4-46B3-B8A0-4B81CBAE9BDD}" srcOrd="0" destOrd="0" presId="urn:microsoft.com/office/officeart/2005/8/layout/orgChart1"/>
    <dgm:cxn modelId="{78664FC7-4385-42DF-9624-812213996085}" type="presParOf" srcId="{924B2A23-5506-4FB0-8311-AAE2552BA06D}" destId="{47C5ADFE-EE4A-4BBF-BB02-4B5CF7C0F4A4}" srcOrd="1" destOrd="0" presId="urn:microsoft.com/office/officeart/2005/8/layout/orgChart1"/>
    <dgm:cxn modelId="{7BDDEDDB-6A42-4E0E-A49A-4E9ABCA763E5}" type="presParOf" srcId="{9004E95D-0AB4-42A7-9D7F-EDA3AF64E51C}" destId="{861AB391-9E4C-4555-89F5-77A97E683B91}" srcOrd="1" destOrd="0" presId="urn:microsoft.com/office/officeart/2005/8/layout/orgChart1"/>
    <dgm:cxn modelId="{B1668429-D458-4304-9E0A-A1379607455C}" type="presParOf" srcId="{861AB391-9E4C-4555-89F5-77A97E683B91}" destId="{EC01BF3A-A76D-4F74-86AF-25C4396AD064}" srcOrd="0" destOrd="0" presId="urn:microsoft.com/office/officeart/2005/8/layout/orgChart1"/>
    <dgm:cxn modelId="{7A9C8C84-2261-4F20-8A58-2226FF13B90E}" type="presParOf" srcId="{861AB391-9E4C-4555-89F5-77A97E683B91}" destId="{30241005-76BB-49EE-A6EC-3E68CE070782}" srcOrd="1" destOrd="0" presId="urn:microsoft.com/office/officeart/2005/8/layout/orgChart1"/>
    <dgm:cxn modelId="{52DC909A-8FE6-47CA-9A6E-33B3F381A828}" type="presParOf" srcId="{30241005-76BB-49EE-A6EC-3E68CE070782}" destId="{2E75F45F-C38D-42AC-9B9F-AEABE3A286CB}" srcOrd="0" destOrd="0" presId="urn:microsoft.com/office/officeart/2005/8/layout/orgChart1"/>
    <dgm:cxn modelId="{516BBFF1-EF17-4832-80EC-B135473FE857}" type="presParOf" srcId="{2E75F45F-C38D-42AC-9B9F-AEABE3A286CB}" destId="{5573677B-90C0-4A56-8925-D18CD6E677DF}" srcOrd="0" destOrd="0" presId="urn:microsoft.com/office/officeart/2005/8/layout/orgChart1"/>
    <dgm:cxn modelId="{63D7B37B-3CC4-46CD-9F80-DACED078BF96}" type="presParOf" srcId="{2E75F45F-C38D-42AC-9B9F-AEABE3A286CB}" destId="{A5B30525-9EEE-4992-A70F-1890F0CCD5DC}" srcOrd="1" destOrd="0" presId="urn:microsoft.com/office/officeart/2005/8/layout/orgChart1"/>
    <dgm:cxn modelId="{46F195DC-F8DF-47F1-A984-D58069D325E4}" type="presParOf" srcId="{30241005-76BB-49EE-A6EC-3E68CE070782}" destId="{B0ED4C78-562E-4B8B-8305-E3C228273662}" srcOrd="1" destOrd="0" presId="urn:microsoft.com/office/officeart/2005/8/layout/orgChart1"/>
    <dgm:cxn modelId="{82D63A42-B4DD-4EF5-8A06-70CE8B5238A7}" type="presParOf" srcId="{30241005-76BB-49EE-A6EC-3E68CE070782}" destId="{74D4F20B-7D40-4BBD-8FD9-5A72FBD66A23}" srcOrd="2" destOrd="0" presId="urn:microsoft.com/office/officeart/2005/8/layout/orgChart1"/>
    <dgm:cxn modelId="{AC2FAEB9-D771-4F88-AA15-C3464DD9C472}" type="presParOf" srcId="{861AB391-9E4C-4555-89F5-77A97E683B91}" destId="{3253E8F7-CB0A-4A42-91B5-5446A003D49E}" srcOrd="2" destOrd="0" presId="urn:microsoft.com/office/officeart/2005/8/layout/orgChart1"/>
    <dgm:cxn modelId="{0FF8AF14-BB63-48D4-9DFA-290DC90195D8}" type="presParOf" srcId="{861AB391-9E4C-4555-89F5-77A97E683B91}" destId="{75965B2D-E625-4974-AD27-48252B55F33C}" srcOrd="3" destOrd="0" presId="urn:microsoft.com/office/officeart/2005/8/layout/orgChart1"/>
    <dgm:cxn modelId="{630E173E-5C62-4A6D-A1DD-335B49B8991F}" type="presParOf" srcId="{75965B2D-E625-4974-AD27-48252B55F33C}" destId="{0E738E2A-F043-4F08-A411-A7E8929D856E}" srcOrd="0" destOrd="0" presId="urn:microsoft.com/office/officeart/2005/8/layout/orgChart1"/>
    <dgm:cxn modelId="{BCE30C33-C0A5-4988-BAF0-A24D68B5664D}" type="presParOf" srcId="{0E738E2A-F043-4F08-A411-A7E8929D856E}" destId="{136A2E78-5958-46DE-9813-D83081D6131A}" srcOrd="0" destOrd="0" presId="urn:microsoft.com/office/officeart/2005/8/layout/orgChart1"/>
    <dgm:cxn modelId="{9E449BCF-C166-4215-91C5-EA5392AEADBE}" type="presParOf" srcId="{0E738E2A-F043-4F08-A411-A7E8929D856E}" destId="{85CC13EB-9187-4E7E-9A84-BE4E921D233A}" srcOrd="1" destOrd="0" presId="urn:microsoft.com/office/officeart/2005/8/layout/orgChart1"/>
    <dgm:cxn modelId="{902AC993-CA67-4CF8-B2A0-86B8309E1B04}" type="presParOf" srcId="{75965B2D-E625-4974-AD27-48252B55F33C}" destId="{2AC6B282-901B-4BE6-BA10-EACD0E997976}" srcOrd="1" destOrd="0" presId="urn:microsoft.com/office/officeart/2005/8/layout/orgChart1"/>
    <dgm:cxn modelId="{A2C7C603-A257-4167-AF6C-37CEEAF7E38D}" type="presParOf" srcId="{75965B2D-E625-4974-AD27-48252B55F33C}" destId="{B6BB1FDA-F365-4C36-A3D1-4EDB4120E1AF}" srcOrd="2" destOrd="0" presId="urn:microsoft.com/office/officeart/2005/8/layout/orgChart1"/>
    <dgm:cxn modelId="{A51960DD-F0D6-49C5-9854-9A3533B0CCBC}" type="presParOf" srcId="{861AB391-9E4C-4555-89F5-77A97E683B91}" destId="{E4C0CDD2-2D8C-4D18-A450-AE3876732F8B}" srcOrd="4" destOrd="0" presId="urn:microsoft.com/office/officeart/2005/8/layout/orgChart1"/>
    <dgm:cxn modelId="{59455FDE-1EE4-44AA-8D1B-2E140D76209C}" type="presParOf" srcId="{861AB391-9E4C-4555-89F5-77A97E683B91}" destId="{1BC2A698-6E42-468B-9559-C6893798A896}" srcOrd="5" destOrd="0" presId="urn:microsoft.com/office/officeart/2005/8/layout/orgChart1"/>
    <dgm:cxn modelId="{F7F4DB23-F39B-4360-BAF8-66F8D7864A8F}" type="presParOf" srcId="{1BC2A698-6E42-468B-9559-C6893798A896}" destId="{60C6C473-6C58-42F3-8A3D-73EB705F0E8C}" srcOrd="0" destOrd="0" presId="urn:microsoft.com/office/officeart/2005/8/layout/orgChart1"/>
    <dgm:cxn modelId="{74A1F369-D730-40FE-BAB0-6C8CB82250E5}" type="presParOf" srcId="{60C6C473-6C58-42F3-8A3D-73EB705F0E8C}" destId="{301BBB7D-EF0E-4282-9659-E48EB92CC952}" srcOrd="0" destOrd="0" presId="urn:microsoft.com/office/officeart/2005/8/layout/orgChart1"/>
    <dgm:cxn modelId="{6D851270-FC49-4B15-A00B-C4ACCB861CEC}" type="presParOf" srcId="{60C6C473-6C58-42F3-8A3D-73EB705F0E8C}" destId="{C496E6BA-326A-4AB2-BC0A-D7CBAA7BE620}" srcOrd="1" destOrd="0" presId="urn:microsoft.com/office/officeart/2005/8/layout/orgChart1"/>
    <dgm:cxn modelId="{AF4250B0-7C70-4B8F-AB81-DAC30A9F7E3C}" type="presParOf" srcId="{1BC2A698-6E42-468B-9559-C6893798A896}" destId="{52163A45-5FE6-44B5-8BDE-F98704DD877B}" srcOrd="1" destOrd="0" presId="urn:microsoft.com/office/officeart/2005/8/layout/orgChart1"/>
    <dgm:cxn modelId="{28FEC934-62CD-47EF-AD39-B9E7BA5C93C4}" type="presParOf" srcId="{1BC2A698-6E42-468B-9559-C6893798A896}" destId="{C8564911-5AEC-4300-BC73-4C994D33A99F}" srcOrd="2" destOrd="0" presId="urn:microsoft.com/office/officeart/2005/8/layout/orgChart1"/>
    <dgm:cxn modelId="{59E63773-3520-47CB-ADB7-54852728C756}" type="presParOf" srcId="{9004E95D-0AB4-42A7-9D7F-EDA3AF64E51C}" destId="{B5885961-BAFD-42D7-AD66-360CDB8C3A62}"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4C0CDD2-2D8C-4D18-A450-AE3876732F8B}">
      <dsp:nvSpPr>
        <dsp:cNvPr id="0" name=""/>
        <dsp:cNvSpPr/>
      </dsp:nvSpPr>
      <dsp:spPr>
        <a:xfrm>
          <a:off x="2673667" y="803906"/>
          <a:ext cx="1891639" cy="328301"/>
        </a:xfrm>
        <a:custGeom>
          <a:avLst/>
          <a:gdLst/>
          <a:ahLst/>
          <a:cxnLst/>
          <a:rect l="0" t="0" r="0" b="0"/>
          <a:pathLst>
            <a:path>
              <a:moveTo>
                <a:pt x="0" y="0"/>
              </a:moveTo>
              <a:lnTo>
                <a:pt x="0" y="164150"/>
              </a:lnTo>
              <a:lnTo>
                <a:pt x="1891639" y="164150"/>
              </a:lnTo>
              <a:lnTo>
                <a:pt x="1891639" y="328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53E8F7-CB0A-4A42-91B5-5446A003D49E}">
      <dsp:nvSpPr>
        <dsp:cNvPr id="0" name=""/>
        <dsp:cNvSpPr/>
      </dsp:nvSpPr>
      <dsp:spPr>
        <a:xfrm>
          <a:off x="2627947" y="803906"/>
          <a:ext cx="91440" cy="328301"/>
        </a:xfrm>
        <a:custGeom>
          <a:avLst/>
          <a:gdLst/>
          <a:ahLst/>
          <a:cxnLst/>
          <a:rect l="0" t="0" r="0" b="0"/>
          <a:pathLst>
            <a:path>
              <a:moveTo>
                <a:pt x="45720" y="0"/>
              </a:moveTo>
              <a:lnTo>
                <a:pt x="45720" y="328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01BF3A-A76D-4F74-86AF-25C4396AD064}">
      <dsp:nvSpPr>
        <dsp:cNvPr id="0" name=""/>
        <dsp:cNvSpPr/>
      </dsp:nvSpPr>
      <dsp:spPr>
        <a:xfrm>
          <a:off x="782028" y="803906"/>
          <a:ext cx="1891639" cy="328301"/>
        </a:xfrm>
        <a:custGeom>
          <a:avLst/>
          <a:gdLst/>
          <a:ahLst/>
          <a:cxnLst/>
          <a:rect l="0" t="0" r="0" b="0"/>
          <a:pathLst>
            <a:path>
              <a:moveTo>
                <a:pt x="1891639" y="0"/>
              </a:moveTo>
              <a:lnTo>
                <a:pt x="1891639" y="164150"/>
              </a:lnTo>
              <a:lnTo>
                <a:pt x="0" y="164150"/>
              </a:lnTo>
              <a:lnTo>
                <a:pt x="0" y="328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2009B2-07D4-46B3-B8A0-4B81CBAE9BDD}">
      <dsp:nvSpPr>
        <dsp:cNvPr id="0" name=""/>
        <dsp:cNvSpPr/>
      </dsp:nvSpPr>
      <dsp:spPr>
        <a:xfrm>
          <a:off x="1891998" y="22237"/>
          <a:ext cx="1563338" cy="781669"/>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smtClean="0">
              <a:solidFill>
                <a:sysClr val="windowText" lastClr="000000"/>
              </a:solidFill>
              <a:latin typeface="Times New Roman" pitchFamily="18" charset="0"/>
              <a:cs typeface="Times New Roman" pitchFamily="18" charset="0"/>
            </a:rPr>
            <a:t>Бренд архитектурасы</a:t>
          </a:r>
        </a:p>
      </dsp:txBody>
      <dsp:txXfrm>
        <a:off x="1891998" y="22237"/>
        <a:ext cx="1563338" cy="781669"/>
      </dsp:txXfrm>
    </dsp:sp>
    <dsp:sp modelId="{5573677B-90C0-4A56-8925-D18CD6E677DF}">
      <dsp:nvSpPr>
        <dsp:cNvPr id="0" name=""/>
        <dsp:cNvSpPr/>
      </dsp:nvSpPr>
      <dsp:spPr>
        <a:xfrm>
          <a:off x="359" y="1132208"/>
          <a:ext cx="1563338" cy="781669"/>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baseline="0" smtClean="0">
              <a:solidFill>
                <a:sysClr val="windowText" lastClr="000000"/>
              </a:solidFill>
              <a:latin typeface="Times New Roman" pitchFamily="18" charset="0"/>
              <a:cs typeface="Times New Roman" pitchFamily="18" charset="0"/>
            </a:rPr>
            <a:t>Топтар бойынша брендтерді анықтау</a:t>
          </a:r>
        </a:p>
      </dsp:txBody>
      <dsp:txXfrm>
        <a:off x="359" y="1132208"/>
        <a:ext cx="1563338" cy="781669"/>
      </dsp:txXfrm>
    </dsp:sp>
    <dsp:sp modelId="{136A2E78-5958-46DE-9813-D83081D6131A}">
      <dsp:nvSpPr>
        <dsp:cNvPr id="0" name=""/>
        <dsp:cNvSpPr/>
      </dsp:nvSpPr>
      <dsp:spPr>
        <a:xfrm>
          <a:off x="1891998" y="1132208"/>
          <a:ext cx="1563338" cy="781669"/>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baseline="0" smtClean="0">
              <a:solidFill>
                <a:sysClr val="windowText" lastClr="000000"/>
              </a:solidFill>
              <a:latin typeface="Times New Roman" pitchFamily="18" charset="0"/>
              <a:cs typeface="Times New Roman" pitchFamily="18" charset="0"/>
            </a:rPr>
            <a:t>Иерархиялық бренд ағашын құру</a:t>
          </a:r>
        </a:p>
      </dsp:txBody>
      <dsp:txXfrm>
        <a:off x="1891998" y="1132208"/>
        <a:ext cx="1563338" cy="781669"/>
      </dsp:txXfrm>
    </dsp:sp>
    <dsp:sp modelId="{301BBB7D-EF0E-4282-9659-E48EB92CC952}">
      <dsp:nvSpPr>
        <dsp:cNvPr id="0" name=""/>
        <dsp:cNvSpPr/>
      </dsp:nvSpPr>
      <dsp:spPr>
        <a:xfrm>
          <a:off x="3783637" y="1132208"/>
          <a:ext cx="1563338" cy="781669"/>
        </a:xfrm>
        <a:prstGeom prst="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ru-RU" sz="1500" b="1" kern="1200" baseline="0" smtClean="0">
              <a:solidFill>
                <a:sysClr val="windowText" lastClr="000000"/>
              </a:solidFill>
              <a:latin typeface="Times New Roman" pitchFamily="18" charset="0"/>
              <a:cs typeface="Times New Roman" pitchFamily="18" charset="0"/>
            </a:rPr>
            <a:t>Бренд ассортиментінің сипаттамасы</a:t>
          </a:r>
        </a:p>
      </dsp:txBody>
      <dsp:txXfrm>
        <a:off x="3783637" y="1132208"/>
        <a:ext cx="1563338" cy="7816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Администратор</cp:lastModifiedBy>
  <cp:revision>3</cp:revision>
  <dcterms:created xsi:type="dcterms:W3CDTF">2023-10-02T06:44:00Z</dcterms:created>
  <dcterms:modified xsi:type="dcterms:W3CDTF">2023-10-05T03:47:00Z</dcterms:modified>
</cp:coreProperties>
</file>