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23" w:rsidRPr="00A808E5" w:rsidRDefault="00A446DB" w:rsidP="00A80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8E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 лекции </w:t>
      </w:r>
      <w:r w:rsidR="00A808E5" w:rsidRPr="00A808E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12</w:t>
      </w:r>
      <w:r w:rsidRPr="00A808E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808E5" w:rsidRPr="00A808E5">
        <w:rPr>
          <w:rFonts w:ascii="Times New Roman" w:hAnsi="Times New Roman"/>
          <w:b/>
          <w:sz w:val="28"/>
          <w:szCs w:val="28"/>
        </w:rPr>
        <w:t>Менеджмент в сфере финансовых услуг</w:t>
      </w:r>
      <w:r w:rsidR="00E63E23" w:rsidRPr="00A808E5">
        <w:rPr>
          <w:rFonts w:ascii="Times New Roman" w:hAnsi="Times New Roman"/>
          <w:b/>
          <w:sz w:val="28"/>
          <w:szCs w:val="28"/>
        </w:rPr>
        <w:t xml:space="preserve"> </w:t>
      </w:r>
    </w:p>
    <w:p w:rsidR="00E63E23" w:rsidRPr="00A808E5" w:rsidRDefault="00E63E23" w:rsidP="00A80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Менеджмент в сфере финансовых услуг</w:t>
      </w: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Понятие финансовых услуг</w:t>
      </w: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Виды банковских услуг</w:t>
      </w: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Финансовый регулятор</w:t>
      </w: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46DB" w:rsidRP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8E5">
        <w:rPr>
          <w:rFonts w:ascii="Times New Roman" w:hAnsi="Times New Roman"/>
          <w:sz w:val="28"/>
          <w:szCs w:val="28"/>
        </w:rPr>
        <w:t>Финансовые услуги</w:t>
      </w:r>
      <w:r w:rsidRPr="00A808E5">
        <w:rPr>
          <w:rFonts w:ascii="Times New Roman" w:hAnsi="Times New Roman"/>
          <w:sz w:val="28"/>
          <w:szCs w:val="28"/>
          <w:shd w:val="clear" w:color="auto" w:fill="FFFFFF"/>
        </w:rPr>
        <w:t> - деятельность участников страхового рынка, рынка ценных бумаг, инвестиционных фондов, накопительных пенсионных фондов, а также банковская деятельность, осуществляемые на основании лицензий, полученных в соответствии с законодательством </w:t>
      </w:r>
      <w:r w:rsidRPr="00A808E5">
        <w:rPr>
          <w:rFonts w:ascii="Times New Roman" w:hAnsi="Times New Roman"/>
          <w:sz w:val="28"/>
          <w:szCs w:val="28"/>
        </w:rPr>
        <w:t>Республики Казахстан</w:t>
      </w:r>
      <w:r w:rsidRPr="00A808E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808E5" w:rsidRPr="00A808E5" w:rsidRDefault="00A808E5" w:rsidP="00A808E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8E5">
        <w:rPr>
          <w:rFonts w:ascii="Times New Roman" w:hAnsi="Times New Roman"/>
          <w:sz w:val="28"/>
          <w:szCs w:val="28"/>
          <w:shd w:val="clear" w:color="auto" w:fill="FFFFFF"/>
        </w:rPr>
        <w:t>В Казахстане регулирование финансового рынка и регулирование рынка финансовых услуг в большей степени обеспечивает государство, а в частности, </w:t>
      </w:r>
      <w:r w:rsidRPr="00A808E5">
        <w:rPr>
          <w:rFonts w:ascii="Times New Roman" w:hAnsi="Times New Roman"/>
          <w:sz w:val="28"/>
          <w:szCs w:val="28"/>
        </w:rPr>
        <w:t>Национальный Банк Республики Казахстан</w:t>
      </w:r>
      <w:r w:rsidRPr="00A808E5">
        <w:rPr>
          <w:rFonts w:ascii="Times New Roman" w:hAnsi="Times New Roman"/>
          <w:sz w:val="28"/>
          <w:szCs w:val="28"/>
          <w:shd w:val="clear" w:color="auto" w:fill="FFFFFF"/>
        </w:rPr>
        <w:t>. До 2004 года государственное регулирование финансового рынка всецело осуществлял НБК.</w:t>
      </w:r>
    </w:p>
    <w:p w:rsidR="00A808E5" w:rsidRPr="00A808E5" w:rsidRDefault="00A808E5" w:rsidP="00A80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Финансовые услуги, в частности, включают все страховые и относящиеся к </w:t>
      </w:r>
      <w:proofErr w:type="gramStart"/>
      <w:r w:rsidRPr="00A808E5">
        <w:rPr>
          <w:rFonts w:ascii="Times New Roman" w:eastAsia="Times New Roman" w:hAnsi="Times New Roman"/>
          <w:sz w:val="28"/>
          <w:szCs w:val="28"/>
          <w:lang w:eastAsia="ru-RU"/>
        </w:rPr>
        <w:t>страховым</w:t>
      </w:r>
      <w:proofErr w:type="gramEnd"/>
      <w:r w:rsidRPr="00A808E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 Это - банковские услуги, торговля на валютной бирже, брокерские операции на денежном рынке, участие в эмиссии ценных бумаг, управление активами, консультационные и посреднические услуги и другие вспомогательные финансовые услуги.</w:t>
      </w:r>
    </w:p>
    <w:p w:rsidR="00A808E5" w:rsidRPr="00A808E5" w:rsidRDefault="00A808E5" w:rsidP="00A80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sz w:val="28"/>
          <w:szCs w:val="28"/>
          <w:lang w:eastAsia="ru-RU"/>
        </w:rPr>
        <w:t>Виды банковских услуг:</w:t>
      </w:r>
    </w:p>
    <w:p w:rsidR="00A808E5" w:rsidRPr="00A808E5" w:rsidRDefault="00A808E5" w:rsidP="00A808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Кредиты</w:t>
      </w:r>
    </w:p>
    <w:p w:rsidR="00A808E5" w:rsidRPr="00A808E5" w:rsidRDefault="00A808E5" w:rsidP="00A808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Страхование</w:t>
      </w:r>
    </w:p>
    <w:p w:rsidR="00A808E5" w:rsidRPr="00A808E5" w:rsidRDefault="00A808E5" w:rsidP="00A808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Займы</w:t>
      </w:r>
    </w:p>
    <w:p w:rsidR="00A808E5" w:rsidRPr="00A808E5" w:rsidRDefault="00A808E5" w:rsidP="00A808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Ипотека</w:t>
      </w:r>
    </w:p>
    <w:p w:rsidR="00A808E5" w:rsidRPr="00A808E5" w:rsidRDefault="00A808E5" w:rsidP="00A808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Карты</w:t>
      </w:r>
    </w:p>
    <w:p w:rsidR="00A808E5" w:rsidRPr="00A808E5" w:rsidRDefault="00A808E5" w:rsidP="00A808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Вклады</w:t>
      </w:r>
    </w:p>
    <w:p w:rsidR="00A808E5" w:rsidRPr="00A808E5" w:rsidRDefault="00A808E5" w:rsidP="00A808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A808E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Расчетно-кассовое обслуживание</w:t>
      </w:r>
    </w:p>
    <w:p w:rsidR="00A808E5" w:rsidRPr="00A808E5" w:rsidRDefault="00A808E5" w:rsidP="00A80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08E5">
        <w:rPr>
          <w:color w:val="000000"/>
          <w:sz w:val="28"/>
          <w:szCs w:val="28"/>
        </w:rPr>
        <w:t>С 1 января 2020 года в Казахстане функционирует новый финансовый регулятор, непосредственно подчиненный и подотчетный Главе государства, –  Агентство РК по регулированию и развитию финансового рынка (далее – Агентство).</w:t>
      </w:r>
    </w:p>
    <w:p w:rsidR="00A808E5" w:rsidRPr="00A808E5" w:rsidRDefault="00A808E5" w:rsidP="00A80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08E5">
        <w:rPr>
          <w:color w:val="000000"/>
          <w:sz w:val="28"/>
          <w:szCs w:val="28"/>
        </w:rPr>
        <w:t xml:space="preserve">Указ о реорганизации Национального Банка Казахстана путем выделения из него Агентства «О дальнейшем совершенствовании системы государственного управления Республики Казахстан» подписан  Президентом Казахстана </w:t>
      </w:r>
      <w:proofErr w:type="spellStart"/>
      <w:r w:rsidRPr="00A808E5">
        <w:rPr>
          <w:color w:val="000000"/>
          <w:sz w:val="28"/>
          <w:szCs w:val="28"/>
        </w:rPr>
        <w:t>Касым-Жомартом</w:t>
      </w:r>
      <w:proofErr w:type="spellEnd"/>
      <w:r w:rsidRPr="00A808E5">
        <w:rPr>
          <w:color w:val="000000"/>
          <w:sz w:val="28"/>
          <w:szCs w:val="28"/>
        </w:rPr>
        <w:t xml:space="preserve"> </w:t>
      </w:r>
      <w:proofErr w:type="spellStart"/>
      <w:r w:rsidRPr="00A808E5">
        <w:rPr>
          <w:color w:val="000000"/>
          <w:sz w:val="28"/>
          <w:szCs w:val="28"/>
        </w:rPr>
        <w:t>Токаевым</w:t>
      </w:r>
      <w:proofErr w:type="spellEnd"/>
      <w:r w:rsidRPr="00A808E5">
        <w:rPr>
          <w:color w:val="000000"/>
          <w:sz w:val="28"/>
          <w:szCs w:val="28"/>
        </w:rPr>
        <w:t xml:space="preserve"> 11 ноября 2019 года и введен в действие с 1 января 2020 года.</w:t>
      </w:r>
    </w:p>
    <w:p w:rsidR="00A808E5" w:rsidRPr="00A808E5" w:rsidRDefault="00A808E5" w:rsidP="00A80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08E5">
        <w:rPr>
          <w:color w:val="000000"/>
          <w:sz w:val="28"/>
          <w:szCs w:val="28"/>
        </w:rPr>
        <w:t>Агентство Республики Казахстан по регулированию и развитию финансового рынка (далее - Агентство) будет обеспечивать надлежащий уровень защиты прав и законных интересов потребителей финансовых услуг, содействовать обеспечению стабильности финансовой системы и развитию финансового рынка, осуществляя государственное регулирование, контроль и надзор финансового рынка и финансовых организаций, а также иных лиц в пределах компетенции.</w:t>
      </w:r>
    </w:p>
    <w:p w:rsidR="00A808E5" w:rsidRPr="00A808E5" w:rsidRDefault="00A808E5" w:rsidP="00A80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808E5">
        <w:rPr>
          <w:color w:val="000000"/>
          <w:sz w:val="28"/>
          <w:szCs w:val="28"/>
        </w:rPr>
        <w:lastRenderedPageBreak/>
        <w:t>Основными задачами и миссией Агентства являются  регулирование и развитие финансового рынка, содействие обеспечению финансовой стабильности финансового рынка и финансовых организаций, поддержание доверия к финансовой системе в целом и создание равноправных условий для деятельности финансовых организаций, направленных на поддержание добросовестной конкуренции на финансовом рынке, обеспечение надлежащего уровня защиты прав и законных интересов потребителей финансовых услуг. </w:t>
      </w:r>
      <w:proofErr w:type="gramEnd"/>
    </w:p>
    <w:p w:rsidR="00A808E5" w:rsidRPr="00A808E5" w:rsidRDefault="00A808E5" w:rsidP="00A80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808E5">
        <w:rPr>
          <w:color w:val="000000"/>
          <w:sz w:val="28"/>
          <w:szCs w:val="28"/>
        </w:rPr>
        <w:t xml:space="preserve">Агентство осуществляет регуляторные, надзорные функции, а именно – госрегулирование, контроль и надзор финансового рынка и финансовых организаций (за исключением </w:t>
      </w:r>
      <w:proofErr w:type="spellStart"/>
      <w:r w:rsidRPr="00A808E5">
        <w:rPr>
          <w:color w:val="000000"/>
          <w:sz w:val="28"/>
          <w:szCs w:val="28"/>
        </w:rPr>
        <w:t>юрлиц</w:t>
      </w:r>
      <w:proofErr w:type="spellEnd"/>
      <w:r w:rsidRPr="00A808E5">
        <w:rPr>
          <w:color w:val="000000"/>
          <w:sz w:val="28"/>
          <w:szCs w:val="28"/>
        </w:rPr>
        <w:t xml:space="preserve">, осуществляющих деятельность исключительно через обменные пункты на основании лицензии </w:t>
      </w:r>
      <w:proofErr w:type="spellStart"/>
      <w:r w:rsidRPr="00A808E5">
        <w:rPr>
          <w:color w:val="000000"/>
          <w:sz w:val="28"/>
          <w:szCs w:val="28"/>
        </w:rPr>
        <w:t>Нацбанка</w:t>
      </w:r>
      <w:proofErr w:type="spellEnd"/>
      <w:r w:rsidRPr="00A808E5">
        <w:rPr>
          <w:color w:val="000000"/>
          <w:sz w:val="28"/>
          <w:szCs w:val="28"/>
        </w:rPr>
        <w:t xml:space="preserve">), их филиалов и </w:t>
      </w:r>
      <w:proofErr w:type="spellStart"/>
      <w:r w:rsidRPr="00A808E5">
        <w:rPr>
          <w:color w:val="000000"/>
          <w:sz w:val="28"/>
          <w:szCs w:val="28"/>
        </w:rPr>
        <w:t>аффилированных</w:t>
      </w:r>
      <w:proofErr w:type="spellEnd"/>
      <w:r w:rsidRPr="00A808E5">
        <w:rPr>
          <w:color w:val="000000"/>
          <w:sz w:val="28"/>
          <w:szCs w:val="28"/>
        </w:rPr>
        <w:t xml:space="preserve"> лиц, Банка Развития Казахстана, </w:t>
      </w:r>
      <w:proofErr w:type="spellStart"/>
      <w:r w:rsidRPr="00A808E5">
        <w:rPr>
          <w:color w:val="000000"/>
          <w:sz w:val="28"/>
          <w:szCs w:val="28"/>
        </w:rPr>
        <w:t>юрлиц</w:t>
      </w:r>
      <w:proofErr w:type="spellEnd"/>
      <w:r w:rsidRPr="00A808E5">
        <w:rPr>
          <w:color w:val="000000"/>
          <w:sz w:val="28"/>
          <w:szCs w:val="28"/>
        </w:rPr>
        <w:t xml:space="preserve">, осуществляющих деятельность на рынке ценных бумаг, кредитных бюро, банковских холдингов, крупных участников банков, страховых холдингов, организаций, осуществляющих </w:t>
      </w:r>
      <w:proofErr w:type="spellStart"/>
      <w:r w:rsidRPr="00A808E5">
        <w:rPr>
          <w:color w:val="000000"/>
          <w:sz w:val="28"/>
          <w:szCs w:val="28"/>
        </w:rPr>
        <w:t>микрофинансовую</w:t>
      </w:r>
      <w:proofErr w:type="spellEnd"/>
      <w:r w:rsidRPr="00A808E5">
        <w:rPr>
          <w:color w:val="000000"/>
          <w:sz w:val="28"/>
          <w:szCs w:val="28"/>
        </w:rPr>
        <w:t xml:space="preserve"> деятельность, </w:t>
      </w:r>
      <w:proofErr w:type="spellStart"/>
      <w:r w:rsidRPr="00A808E5">
        <w:rPr>
          <w:color w:val="000000"/>
          <w:sz w:val="28"/>
          <w:szCs w:val="28"/>
        </w:rPr>
        <w:t>коллекторских</w:t>
      </w:r>
      <w:proofErr w:type="spellEnd"/>
      <w:r w:rsidRPr="00A808E5">
        <w:rPr>
          <w:color w:val="000000"/>
          <w:sz w:val="28"/>
          <w:szCs w:val="28"/>
        </w:rPr>
        <w:t xml:space="preserve"> агентств, временных</w:t>
      </w:r>
      <w:proofErr w:type="gramEnd"/>
      <w:r w:rsidRPr="00A808E5">
        <w:rPr>
          <w:color w:val="000000"/>
          <w:sz w:val="28"/>
          <w:szCs w:val="28"/>
        </w:rPr>
        <w:t xml:space="preserve"> администраций (временных администраторов), ликвидационных комиссий банков, страховых (перестраховочных) организаций и др. </w:t>
      </w:r>
    </w:p>
    <w:p w:rsidR="00A808E5" w:rsidRPr="00A808E5" w:rsidRDefault="00A808E5" w:rsidP="00A80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808E5">
        <w:rPr>
          <w:color w:val="000000"/>
          <w:sz w:val="28"/>
          <w:szCs w:val="28"/>
        </w:rPr>
        <w:t>Финрегулятор</w:t>
      </w:r>
      <w:proofErr w:type="spellEnd"/>
      <w:r w:rsidRPr="00A808E5">
        <w:rPr>
          <w:color w:val="000000"/>
          <w:sz w:val="28"/>
          <w:szCs w:val="28"/>
        </w:rPr>
        <w:t xml:space="preserve"> вправе применять к финансовым и иным организациям ограниченные меры воздействия, меры надзорного реагирования, в том числе с использованием мотивированного суждения, санкции и иные меры, предусмотренные законами Казахстана, по вопросам, входящим в его компетенцию. </w:t>
      </w:r>
    </w:p>
    <w:p w:rsidR="00A808E5" w:rsidRPr="00A808E5" w:rsidRDefault="00A808E5" w:rsidP="00A80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08E5">
        <w:rPr>
          <w:color w:val="000000"/>
          <w:sz w:val="28"/>
          <w:szCs w:val="28"/>
        </w:rPr>
        <w:t xml:space="preserve">Одной из функций надзорного органа согласно Указу Президента РК № 203 от 11 ноября 2019 года является осуществление реализации программ рефинансирования ипотечных жилищных займов и ипотечных займов физических лиц, осуществляемых через дочерние организации Национального Банка Республики Казахстан, а также </w:t>
      </w:r>
      <w:proofErr w:type="gramStart"/>
      <w:r w:rsidRPr="00A808E5">
        <w:rPr>
          <w:color w:val="000000"/>
          <w:sz w:val="28"/>
          <w:szCs w:val="28"/>
        </w:rPr>
        <w:t>контроль за</w:t>
      </w:r>
      <w:proofErr w:type="gramEnd"/>
      <w:r w:rsidRPr="00A808E5">
        <w:rPr>
          <w:color w:val="000000"/>
          <w:sz w:val="28"/>
          <w:szCs w:val="28"/>
        </w:rPr>
        <w:t xml:space="preserve"> исполнением банками обязательств, принятых в рамках данных программ.</w:t>
      </w:r>
    </w:p>
    <w:p w:rsidR="00A808E5" w:rsidRP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446DB" w:rsidRDefault="00A446DB" w:rsidP="00A80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8E5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A808E5" w:rsidRPr="00A808E5" w:rsidRDefault="00A808E5" w:rsidP="00A80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Менеджмент в сфере финансовых услуг</w:t>
      </w: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Понятие финансовых услуг</w:t>
      </w: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Виды банковских услуг</w:t>
      </w:r>
    </w:p>
    <w:p w:rsidR="00A808E5" w:rsidRDefault="00A808E5" w:rsidP="00A80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Финансовый регулятор</w:t>
      </w:r>
    </w:p>
    <w:p w:rsidR="00A446DB" w:rsidRPr="00A808E5" w:rsidRDefault="00A446DB" w:rsidP="00A808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446DB" w:rsidRPr="00A808E5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490346AF"/>
    <w:multiLevelType w:val="multilevel"/>
    <w:tmpl w:val="876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4A0EA0"/>
    <w:rsid w:val="00680EA0"/>
    <w:rsid w:val="00A446DB"/>
    <w:rsid w:val="00A808E5"/>
    <w:rsid w:val="00C344A9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character" w:customStyle="1" w:styleId="cskcde">
    <w:name w:val="cskcde"/>
    <w:basedOn w:val="a0"/>
    <w:rsid w:val="00A808E5"/>
  </w:style>
  <w:style w:type="character" w:customStyle="1" w:styleId="hgkelc">
    <w:name w:val="hgkelc"/>
    <w:basedOn w:val="a0"/>
    <w:rsid w:val="00A808E5"/>
  </w:style>
  <w:style w:type="paragraph" w:styleId="a6">
    <w:name w:val="Normal (Web)"/>
    <w:basedOn w:val="a"/>
    <w:uiPriority w:val="99"/>
    <w:semiHidden/>
    <w:unhideWhenUsed/>
    <w:rsid w:val="00A80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6721">
                  <w:marLeft w:val="0"/>
                  <w:marRight w:val="0"/>
                  <w:marTop w:val="194"/>
                  <w:marBottom w:val="1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2696">
                  <w:marLeft w:val="0"/>
                  <w:marRight w:val="0"/>
                  <w:marTop w:val="194"/>
                  <w:marBottom w:val="1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9003">
                              <w:marLeft w:val="0"/>
                              <w:marRight w:val="0"/>
                              <w:marTop w:val="0"/>
                              <w:marBottom w:val="3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2023-10-04T06:42:00Z</dcterms:modified>
</cp:coreProperties>
</file>