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125730" w14:textId="79898238" w:rsidR="001F58E9" w:rsidRDefault="00657ED5" w:rsidP="001F58E9">
      <w:pPr>
        <w:ind w:firstLine="737"/>
        <w:jc w:val="center"/>
        <w:rPr>
          <w:b/>
          <w:color w:val="000000"/>
        </w:rPr>
      </w:pPr>
      <w:r>
        <w:rPr>
          <w:b/>
          <w:color w:val="000000"/>
        </w:rPr>
        <w:t>Лекция 1</w:t>
      </w:r>
      <w:r w:rsidR="001F58E9">
        <w:rPr>
          <w:b/>
          <w:color w:val="000000"/>
        </w:rPr>
        <w:t>0</w:t>
      </w:r>
      <w:r w:rsidRPr="00F51E20">
        <w:rPr>
          <w:b/>
          <w:color w:val="000000"/>
        </w:rPr>
        <w:t>.</w:t>
      </w:r>
    </w:p>
    <w:p w14:paraId="6517841F" w14:textId="77777777" w:rsidR="001F58E9" w:rsidRDefault="001F58E9" w:rsidP="001F58E9">
      <w:pPr>
        <w:ind w:firstLine="737"/>
        <w:jc w:val="center"/>
        <w:rPr>
          <w:b/>
          <w:color w:val="000000"/>
        </w:rPr>
      </w:pPr>
    </w:p>
    <w:p w14:paraId="783DBAA4" w14:textId="72A7C0A6" w:rsidR="00657ED5" w:rsidRDefault="00657ED5" w:rsidP="001F58E9">
      <w:pPr>
        <w:ind w:firstLine="737"/>
        <w:jc w:val="center"/>
        <w:rPr>
          <w:i/>
          <w:iCs/>
          <w:lang w:val="kk-KZ"/>
        </w:rPr>
      </w:pPr>
      <w:r w:rsidRPr="00EB056E">
        <w:rPr>
          <w:b/>
          <w:lang w:val="kk-KZ"/>
        </w:rPr>
        <w:t>Статистическое исследование зависимостей:</w:t>
      </w:r>
      <w:r w:rsidRPr="00EB056E">
        <w:rPr>
          <w:lang w:val="kk-KZ"/>
        </w:rPr>
        <w:t xml:space="preserve"> </w:t>
      </w:r>
      <w:r w:rsidRPr="00386448">
        <w:rPr>
          <w:i/>
          <w:iCs/>
          <w:lang w:val="kk-KZ"/>
        </w:rPr>
        <w:t>Стохастичесепя зависимость, регрессии и корреляции, регрессионный анализ.</w:t>
      </w:r>
    </w:p>
    <w:p w14:paraId="28969605" w14:textId="77777777" w:rsidR="001F58E9" w:rsidRPr="00386448" w:rsidRDefault="001F58E9" w:rsidP="00657ED5">
      <w:pPr>
        <w:ind w:firstLine="737"/>
        <w:jc w:val="both"/>
        <w:rPr>
          <w:i/>
          <w:iCs/>
          <w:color w:val="000000"/>
        </w:rPr>
      </w:pPr>
    </w:p>
    <w:p w14:paraId="732E2C4C" w14:textId="77777777" w:rsidR="00657ED5" w:rsidRPr="00AD458F" w:rsidRDefault="00657ED5" w:rsidP="00657ED5">
      <w:pPr>
        <w:jc w:val="both"/>
        <w:rPr>
          <w:color w:val="000000"/>
        </w:rPr>
      </w:pPr>
      <w:r w:rsidRPr="00AD458F">
        <w:rPr>
          <w:color w:val="000000"/>
        </w:rPr>
        <w:t>          Теория регрессионного анализа описана и расчетные формулы даны в специальной литературе [</w:t>
      </w:r>
      <w:r>
        <w:rPr>
          <w:color w:val="000000"/>
        </w:rPr>
        <w:t>1-6</w:t>
      </w:r>
      <w:r w:rsidRPr="00AD458F">
        <w:rPr>
          <w:color w:val="000000"/>
        </w:rPr>
        <w:t>]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силлабуса</w:t>
      </w:r>
      <w:proofErr w:type="spellEnd"/>
      <w:r w:rsidRPr="00AD458F">
        <w:rPr>
          <w:color w:val="000000"/>
        </w:rPr>
        <w:t>. В этой теории разработаны методы точечного и интервального оценивания параметров, задающих функциональную зависимость, а также непараметрические методы оценивания этой зависимости, методы проверки различных гипотез, связанных с регрессионными зависимостями. Выбор планов эксперимента, т.е. точек </w:t>
      </w:r>
      <w:proofErr w:type="spellStart"/>
      <w:r w:rsidRPr="00AD458F">
        <w:rPr>
          <w:i/>
          <w:iCs/>
          <w:color w:val="000000"/>
        </w:rPr>
        <w:t>x</w:t>
      </w:r>
      <w:r w:rsidRPr="00AD458F">
        <w:rPr>
          <w:i/>
          <w:iCs/>
          <w:color w:val="000000"/>
          <w:vertAlign w:val="subscript"/>
        </w:rPr>
        <w:t>i</w:t>
      </w:r>
      <w:proofErr w:type="spellEnd"/>
      <w:r w:rsidRPr="00AD458F">
        <w:rPr>
          <w:color w:val="000000"/>
        </w:rPr>
        <w:t>, в которых будут проводиться эксперименты по наблюдению </w:t>
      </w:r>
      <w:proofErr w:type="spellStart"/>
      <w:r w:rsidRPr="00AD458F">
        <w:rPr>
          <w:i/>
          <w:iCs/>
          <w:color w:val="000000"/>
        </w:rPr>
        <w:t>y</w:t>
      </w:r>
      <w:r w:rsidRPr="00AD458F">
        <w:rPr>
          <w:i/>
          <w:iCs/>
          <w:color w:val="000000"/>
          <w:vertAlign w:val="subscript"/>
        </w:rPr>
        <w:t>i</w:t>
      </w:r>
      <w:proofErr w:type="spellEnd"/>
      <w:r w:rsidRPr="00AD458F">
        <w:rPr>
          <w:color w:val="000000"/>
        </w:rPr>
        <w:t> – предмет теории планирования эксперимента.  </w:t>
      </w:r>
    </w:p>
    <w:p w14:paraId="4D66503A" w14:textId="77777777" w:rsidR="00657ED5" w:rsidRPr="00AD458F" w:rsidRDefault="00657ED5" w:rsidP="00657ED5">
      <w:pPr>
        <w:jc w:val="both"/>
        <w:rPr>
          <w:color w:val="000000"/>
        </w:rPr>
      </w:pPr>
      <w:r w:rsidRPr="00AD458F">
        <w:rPr>
          <w:color w:val="000000"/>
        </w:rPr>
        <w:t>          Дисперсионный анализ применяют для изучения влияния качественных признаков на количественную переменную. Например, пусть имеются </w:t>
      </w:r>
      <w:r w:rsidRPr="00AD458F">
        <w:rPr>
          <w:i/>
          <w:iCs/>
          <w:color w:val="000000"/>
        </w:rPr>
        <w:t>k</w:t>
      </w:r>
      <w:r w:rsidRPr="00AD458F">
        <w:rPr>
          <w:color w:val="000000"/>
        </w:rPr>
        <w:t> выборок результатов измерений количественного показателя качества единиц продукции, выпущенных на </w:t>
      </w:r>
      <w:r w:rsidRPr="00AD458F">
        <w:rPr>
          <w:i/>
          <w:iCs/>
          <w:color w:val="000000"/>
        </w:rPr>
        <w:t>k</w:t>
      </w:r>
      <w:r w:rsidRPr="00AD458F">
        <w:rPr>
          <w:color w:val="000000"/>
        </w:rPr>
        <w:t> станках, т.е. набор чисел (</w:t>
      </w:r>
      <w:r w:rsidRPr="00AD458F">
        <w:rPr>
          <w:i/>
          <w:iCs/>
          <w:color w:val="000000"/>
        </w:rPr>
        <w:t>x</w:t>
      </w:r>
      <w:r w:rsidRPr="00AD458F">
        <w:rPr>
          <w:color w:val="000000"/>
          <w:vertAlign w:val="subscript"/>
        </w:rPr>
        <w:t>1</w:t>
      </w:r>
      <w:r w:rsidRPr="00AD458F">
        <w:rPr>
          <w:color w:val="000000"/>
        </w:rPr>
        <w:t>(</w:t>
      </w:r>
      <w:r w:rsidRPr="00AD458F">
        <w:rPr>
          <w:i/>
          <w:iCs/>
          <w:color w:val="000000"/>
        </w:rPr>
        <w:t>j</w:t>
      </w:r>
      <w:r w:rsidRPr="00AD458F">
        <w:rPr>
          <w:color w:val="000000"/>
        </w:rPr>
        <w:t>), </w:t>
      </w:r>
      <w:r w:rsidRPr="00AD458F">
        <w:rPr>
          <w:i/>
          <w:iCs/>
          <w:color w:val="000000"/>
        </w:rPr>
        <w:t>x</w:t>
      </w:r>
      <w:r w:rsidRPr="00AD458F">
        <w:rPr>
          <w:color w:val="000000"/>
          <w:vertAlign w:val="subscript"/>
        </w:rPr>
        <w:t>2</w:t>
      </w:r>
      <w:r w:rsidRPr="00AD458F">
        <w:rPr>
          <w:color w:val="000000"/>
        </w:rPr>
        <w:t>(</w:t>
      </w:r>
      <w:r w:rsidRPr="00AD458F">
        <w:rPr>
          <w:i/>
          <w:iCs/>
          <w:color w:val="000000"/>
        </w:rPr>
        <w:t>j</w:t>
      </w:r>
      <w:r w:rsidRPr="00AD458F">
        <w:rPr>
          <w:color w:val="000000"/>
        </w:rPr>
        <w:t xml:space="preserve">), </w:t>
      </w:r>
      <w:proofErr w:type="gramStart"/>
      <w:r w:rsidRPr="00AD458F">
        <w:rPr>
          <w:color w:val="000000"/>
        </w:rPr>
        <w:t>… ,</w:t>
      </w:r>
      <w:proofErr w:type="gramEnd"/>
      <w:r w:rsidRPr="00AD458F">
        <w:rPr>
          <w:color w:val="000000"/>
        </w:rPr>
        <w:t> </w:t>
      </w:r>
      <w:proofErr w:type="spellStart"/>
      <w:r w:rsidRPr="00AD458F">
        <w:rPr>
          <w:i/>
          <w:iCs/>
          <w:color w:val="000000"/>
        </w:rPr>
        <w:t>x</w:t>
      </w:r>
      <w:r w:rsidRPr="00AD458F">
        <w:rPr>
          <w:color w:val="000000"/>
          <w:vertAlign w:val="subscript"/>
        </w:rPr>
        <w:t>n</w:t>
      </w:r>
      <w:proofErr w:type="spellEnd"/>
      <w:r w:rsidRPr="00AD458F">
        <w:rPr>
          <w:color w:val="000000"/>
        </w:rPr>
        <w:t>(</w:t>
      </w:r>
      <w:r w:rsidRPr="00AD458F">
        <w:rPr>
          <w:i/>
          <w:iCs/>
          <w:color w:val="000000"/>
        </w:rPr>
        <w:t>j</w:t>
      </w:r>
      <w:r w:rsidRPr="00AD458F">
        <w:rPr>
          <w:color w:val="000000"/>
        </w:rPr>
        <w:t>)), где</w:t>
      </w:r>
      <w:r w:rsidRPr="00AD458F">
        <w:rPr>
          <w:i/>
          <w:iCs/>
          <w:color w:val="000000"/>
        </w:rPr>
        <w:t> j</w:t>
      </w:r>
      <w:r w:rsidRPr="00AD458F">
        <w:rPr>
          <w:color w:val="000000"/>
        </w:rPr>
        <w:t> – номер станка,</w:t>
      </w:r>
      <w:r w:rsidRPr="00AD458F">
        <w:rPr>
          <w:i/>
          <w:iCs/>
          <w:color w:val="000000"/>
        </w:rPr>
        <w:t> j</w:t>
      </w:r>
      <w:r w:rsidRPr="00AD458F">
        <w:rPr>
          <w:color w:val="000000"/>
        </w:rPr>
        <w:t> = 1, 2, …, </w:t>
      </w:r>
      <w:r w:rsidRPr="00AD458F">
        <w:rPr>
          <w:i/>
          <w:iCs/>
          <w:color w:val="000000"/>
        </w:rPr>
        <w:t>k</w:t>
      </w:r>
      <w:r w:rsidRPr="00AD458F">
        <w:rPr>
          <w:color w:val="000000"/>
        </w:rPr>
        <w:t>, а </w:t>
      </w:r>
      <w:r w:rsidRPr="00AD458F">
        <w:rPr>
          <w:i/>
          <w:iCs/>
          <w:color w:val="000000"/>
        </w:rPr>
        <w:t>n</w:t>
      </w:r>
      <w:r w:rsidRPr="00AD458F">
        <w:rPr>
          <w:color w:val="000000"/>
        </w:rPr>
        <w:t> – объем выборки. В распространенной постановке дисперсионного анализа предполагают, что результаты измерений независимы и в каждой выборке имеют нормальное распределение </w:t>
      </w:r>
      <w:r w:rsidRPr="00AD458F">
        <w:rPr>
          <w:i/>
          <w:iCs/>
          <w:color w:val="000000"/>
        </w:rPr>
        <w:t>N</w:t>
      </w:r>
      <w:r w:rsidRPr="00AD458F">
        <w:rPr>
          <w:color w:val="000000"/>
        </w:rPr>
        <w:t>(</w:t>
      </w:r>
      <w:r w:rsidRPr="00AD458F">
        <w:rPr>
          <w:i/>
          <w:iCs/>
          <w:color w:val="000000"/>
        </w:rPr>
        <w:t>m</w:t>
      </w:r>
      <w:r w:rsidRPr="00AD458F">
        <w:rPr>
          <w:color w:val="000000"/>
        </w:rPr>
        <w:t>(</w:t>
      </w:r>
      <w:r w:rsidRPr="00AD458F">
        <w:rPr>
          <w:i/>
          <w:iCs/>
          <w:color w:val="000000"/>
        </w:rPr>
        <w:t>j</w:t>
      </w:r>
      <w:r w:rsidRPr="00AD458F">
        <w:rPr>
          <w:color w:val="000000"/>
        </w:rPr>
        <w:t>), σ</w:t>
      </w:r>
      <w:r w:rsidRPr="00AD458F">
        <w:rPr>
          <w:color w:val="000000"/>
          <w:vertAlign w:val="superscript"/>
        </w:rPr>
        <w:t>2</w:t>
      </w:r>
      <w:r w:rsidRPr="00AD458F">
        <w:rPr>
          <w:color w:val="000000"/>
        </w:rPr>
        <w:t>) с одной и той же дисперсией. Хорошо разработаны и непараметрические постановки.</w:t>
      </w:r>
    </w:p>
    <w:p w14:paraId="69209B35" w14:textId="77777777" w:rsidR="00657ED5" w:rsidRPr="00AD458F" w:rsidRDefault="00657ED5" w:rsidP="00657ED5">
      <w:pPr>
        <w:jc w:val="both"/>
        <w:rPr>
          <w:color w:val="000000"/>
        </w:rPr>
      </w:pPr>
      <w:r w:rsidRPr="00AD458F">
        <w:rPr>
          <w:color w:val="000000"/>
        </w:rPr>
        <w:t>          Проверка однородности качества продукции, т.е. отсутствия влияния номера станка на качество продукции, сводится к проверке гипотезы</w:t>
      </w:r>
      <w:r>
        <w:rPr>
          <w:color w:val="000000"/>
        </w:rPr>
        <w:t xml:space="preserve"> </w:t>
      </w:r>
      <w:r w:rsidRPr="00AD458F">
        <w:rPr>
          <w:i/>
          <w:iCs/>
          <w:color w:val="000000"/>
        </w:rPr>
        <w:t>H</w:t>
      </w:r>
      <w:r w:rsidRPr="00AD458F">
        <w:rPr>
          <w:color w:val="000000"/>
          <w:vertAlign w:val="subscript"/>
        </w:rPr>
        <w:t>0</w:t>
      </w:r>
      <w:r w:rsidRPr="00AD458F">
        <w:rPr>
          <w:color w:val="000000"/>
        </w:rPr>
        <w:t>: </w:t>
      </w:r>
      <w:proofErr w:type="gramStart"/>
      <w:r w:rsidRPr="00AD458F">
        <w:rPr>
          <w:i/>
          <w:iCs/>
          <w:color w:val="000000"/>
        </w:rPr>
        <w:t>m</w:t>
      </w:r>
      <w:r w:rsidRPr="00AD458F">
        <w:rPr>
          <w:color w:val="000000"/>
        </w:rPr>
        <w:t>(</w:t>
      </w:r>
      <w:proofErr w:type="gramEnd"/>
      <w:r w:rsidRPr="00AD458F">
        <w:rPr>
          <w:color w:val="000000"/>
        </w:rPr>
        <w:t>1) = </w:t>
      </w:r>
      <w:r w:rsidRPr="00AD458F">
        <w:rPr>
          <w:i/>
          <w:iCs/>
          <w:color w:val="000000"/>
        </w:rPr>
        <w:t>m</w:t>
      </w:r>
      <w:r w:rsidRPr="00AD458F">
        <w:rPr>
          <w:color w:val="000000"/>
        </w:rPr>
        <w:t>(2) = … = </w:t>
      </w:r>
      <w:r w:rsidRPr="00AD458F">
        <w:rPr>
          <w:i/>
          <w:iCs/>
          <w:color w:val="000000"/>
        </w:rPr>
        <w:t>m</w:t>
      </w:r>
      <w:r w:rsidRPr="00AD458F">
        <w:rPr>
          <w:color w:val="000000"/>
        </w:rPr>
        <w:t>(</w:t>
      </w:r>
      <w:r w:rsidRPr="00AD458F">
        <w:rPr>
          <w:i/>
          <w:iCs/>
          <w:color w:val="000000"/>
        </w:rPr>
        <w:t>k</w:t>
      </w:r>
      <w:r w:rsidRPr="00AD458F">
        <w:rPr>
          <w:color w:val="000000"/>
        </w:rPr>
        <w:t>).</w:t>
      </w:r>
    </w:p>
    <w:p w14:paraId="22EF2DCD" w14:textId="77777777" w:rsidR="00657ED5" w:rsidRPr="00AD458F" w:rsidRDefault="00657ED5" w:rsidP="00657ED5">
      <w:pPr>
        <w:jc w:val="both"/>
        <w:rPr>
          <w:color w:val="000000"/>
        </w:rPr>
      </w:pPr>
      <w:r w:rsidRPr="00AD458F">
        <w:rPr>
          <w:color w:val="000000"/>
        </w:rPr>
        <w:t>В дисперсионном анализе разработаны методы проверки подобных гипотез. Теория дисперсионного анализа и расчетные формулы рассмотрены в специальной литературе</w:t>
      </w:r>
      <w:r>
        <w:rPr>
          <w:color w:val="000000"/>
        </w:rPr>
        <w:t xml:space="preserve">, предложенной в </w:t>
      </w:r>
      <w:proofErr w:type="spellStart"/>
      <w:r>
        <w:rPr>
          <w:color w:val="000000"/>
        </w:rPr>
        <w:t>силлабусе</w:t>
      </w:r>
      <w:proofErr w:type="spellEnd"/>
      <w:r>
        <w:rPr>
          <w:color w:val="000000"/>
        </w:rPr>
        <w:t>.</w:t>
      </w:r>
    </w:p>
    <w:p w14:paraId="4CBCDA61" w14:textId="77777777" w:rsidR="00657ED5" w:rsidRDefault="00657ED5" w:rsidP="00657ED5">
      <w:pPr>
        <w:ind w:firstLine="709"/>
        <w:jc w:val="both"/>
        <w:rPr>
          <w:color w:val="000000"/>
        </w:rPr>
      </w:pPr>
      <w:r w:rsidRPr="00AD458F">
        <w:rPr>
          <w:color w:val="000000"/>
        </w:rPr>
        <w:t>Гипотезу </w:t>
      </w:r>
      <w:r w:rsidRPr="00AD458F">
        <w:rPr>
          <w:i/>
          <w:iCs/>
          <w:color w:val="000000"/>
        </w:rPr>
        <w:t>Н</w:t>
      </w:r>
      <w:r w:rsidRPr="00AD458F">
        <w:rPr>
          <w:color w:val="000000"/>
          <w:vertAlign w:val="subscript"/>
        </w:rPr>
        <w:t>0</w:t>
      </w:r>
      <w:r w:rsidRPr="00AD458F">
        <w:rPr>
          <w:color w:val="000000"/>
        </w:rPr>
        <w:t> проверяют против альтернативной гипотезы </w:t>
      </w:r>
      <w:r w:rsidRPr="00AD458F">
        <w:rPr>
          <w:i/>
          <w:iCs/>
          <w:color w:val="000000"/>
        </w:rPr>
        <w:t>Н</w:t>
      </w:r>
      <w:r w:rsidRPr="00AD458F">
        <w:rPr>
          <w:color w:val="000000"/>
          <w:vertAlign w:val="subscript"/>
        </w:rPr>
        <w:t>1</w:t>
      </w:r>
      <w:r w:rsidRPr="00AD458F">
        <w:rPr>
          <w:color w:val="000000"/>
        </w:rPr>
        <w:t xml:space="preserve">, согласно которой хотя бы одно из указанных равенств не выполнено. Проверка этой гипотезы основана на следующем «разложении дисперсий», указанном </w:t>
      </w:r>
      <w:proofErr w:type="spellStart"/>
      <w:r w:rsidRPr="00AD458F">
        <w:rPr>
          <w:color w:val="000000"/>
        </w:rPr>
        <w:t>Р.А.Фишером</w:t>
      </w:r>
      <w:proofErr w:type="spellEnd"/>
      <w:r w:rsidRPr="00AD458F">
        <w:rPr>
          <w:color w:val="000000"/>
        </w:rPr>
        <w:t>:</w:t>
      </w:r>
    </w:p>
    <w:p w14:paraId="04128AF7" w14:textId="77777777" w:rsidR="00657ED5" w:rsidRPr="00AD458F" w:rsidRDefault="00657ED5" w:rsidP="00657ED5">
      <w:pPr>
        <w:ind w:firstLine="709"/>
        <w:jc w:val="center"/>
        <w:rPr>
          <w:color w:val="000000"/>
        </w:rPr>
      </w:pPr>
      <w:r>
        <w:rPr>
          <w:color w:val="000000"/>
        </w:rPr>
        <w:t xml:space="preserve"> </w:t>
      </w:r>
      <w:r w:rsidRPr="0089512C">
        <w:rPr>
          <w:noProof/>
          <w:color w:val="000000"/>
          <w:vertAlign w:val="subscript"/>
        </w:rPr>
        <w:drawing>
          <wp:inline distT="0" distB="0" distL="0" distR="0" wp14:anchorId="49C17D39" wp14:editId="1EEDDBC9">
            <wp:extent cx="1749425" cy="445135"/>
            <wp:effectExtent l="0" t="0" r="0" b="0"/>
            <wp:docPr id="53" name="Рисунок 53" descr="http://www.aup.ru/books/m163/1_2_6.files/image0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www.aup.ru/books/m163/1_2_6.files/image039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9425" cy="445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669E365" w14:textId="77777777" w:rsidR="00657ED5" w:rsidRPr="00AD458F" w:rsidRDefault="00657ED5" w:rsidP="00657ED5">
      <w:pPr>
        <w:jc w:val="both"/>
        <w:rPr>
          <w:color w:val="000000"/>
        </w:rPr>
      </w:pPr>
      <w:r w:rsidRPr="00AD458F">
        <w:rPr>
          <w:color w:val="000000"/>
        </w:rPr>
        <w:t>где </w:t>
      </w:r>
      <w:r w:rsidRPr="00AD458F">
        <w:rPr>
          <w:i/>
          <w:iCs/>
          <w:color w:val="000000"/>
        </w:rPr>
        <w:t>s</w:t>
      </w:r>
      <w:r w:rsidRPr="00AD458F">
        <w:rPr>
          <w:color w:val="000000"/>
          <w:vertAlign w:val="superscript"/>
        </w:rPr>
        <w:t>2</w:t>
      </w:r>
      <w:r w:rsidRPr="00AD458F">
        <w:rPr>
          <w:color w:val="000000"/>
        </w:rPr>
        <w:t> – выборочная дисперсия в объединенной выборке, т.е.</w:t>
      </w:r>
    </w:p>
    <w:p w14:paraId="37458657" w14:textId="77777777" w:rsidR="00657ED5" w:rsidRPr="00AD458F" w:rsidRDefault="00657ED5" w:rsidP="00657ED5">
      <w:pPr>
        <w:jc w:val="center"/>
        <w:rPr>
          <w:color w:val="000000"/>
        </w:rPr>
      </w:pPr>
      <w:r w:rsidRPr="0089512C">
        <w:rPr>
          <w:noProof/>
          <w:color w:val="000000"/>
          <w:vertAlign w:val="subscript"/>
        </w:rPr>
        <w:drawing>
          <wp:inline distT="0" distB="0" distL="0" distR="0" wp14:anchorId="26156CF6" wp14:editId="1F01E306">
            <wp:extent cx="2926080" cy="445135"/>
            <wp:effectExtent l="0" t="0" r="0" b="0"/>
            <wp:docPr id="54" name="Рисунок 54" descr="http://www.aup.ru/books/m163/1_2_6.files/image04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www.aup.ru/books/m163/1_2_6.files/image041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445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13F799F" w14:textId="77777777" w:rsidR="00657ED5" w:rsidRPr="00AD458F" w:rsidRDefault="00657ED5" w:rsidP="00657ED5">
      <w:pPr>
        <w:jc w:val="both"/>
        <w:rPr>
          <w:color w:val="000000"/>
        </w:rPr>
      </w:pPr>
      <w:r w:rsidRPr="00AD458F">
        <w:rPr>
          <w:color w:val="000000"/>
        </w:rPr>
        <w:t>Далее, </w:t>
      </w:r>
      <w:r w:rsidRPr="00AD458F">
        <w:rPr>
          <w:i/>
          <w:iCs/>
          <w:color w:val="000000"/>
        </w:rPr>
        <w:t>s</w:t>
      </w:r>
      <w:r w:rsidRPr="00AD458F">
        <w:rPr>
          <w:color w:val="000000"/>
          <w:vertAlign w:val="superscript"/>
        </w:rPr>
        <w:t>2</w:t>
      </w:r>
      <w:r w:rsidRPr="00AD458F">
        <w:rPr>
          <w:color w:val="000000"/>
        </w:rPr>
        <w:t>(</w:t>
      </w:r>
      <w:r w:rsidRPr="00AD458F">
        <w:rPr>
          <w:i/>
          <w:iCs/>
          <w:color w:val="000000"/>
        </w:rPr>
        <w:t>j</w:t>
      </w:r>
      <w:r w:rsidRPr="00AD458F">
        <w:rPr>
          <w:color w:val="000000"/>
        </w:rPr>
        <w:t>) – выборочная дисперсия в </w:t>
      </w:r>
      <w:r w:rsidRPr="00AD458F">
        <w:rPr>
          <w:i/>
          <w:iCs/>
          <w:color w:val="000000"/>
        </w:rPr>
        <w:t>j</w:t>
      </w:r>
      <w:r w:rsidRPr="00AD458F">
        <w:rPr>
          <w:color w:val="000000"/>
        </w:rPr>
        <w:t>-ой группе,</w:t>
      </w:r>
    </w:p>
    <w:p w14:paraId="7B297D35" w14:textId="77777777" w:rsidR="00657ED5" w:rsidRPr="00AD458F" w:rsidRDefault="00657ED5" w:rsidP="00657ED5">
      <w:pPr>
        <w:jc w:val="center"/>
        <w:rPr>
          <w:color w:val="000000"/>
        </w:rPr>
      </w:pPr>
      <w:r w:rsidRPr="0089512C">
        <w:rPr>
          <w:noProof/>
          <w:color w:val="000000"/>
          <w:vertAlign w:val="subscript"/>
        </w:rPr>
        <w:drawing>
          <wp:inline distT="0" distB="0" distL="0" distR="0" wp14:anchorId="266F25DD" wp14:editId="110C4A1B">
            <wp:extent cx="3872230" cy="429260"/>
            <wp:effectExtent l="0" t="0" r="0" b="0"/>
            <wp:docPr id="55" name="Рисунок 55" descr="http://www.aup.ru/books/m163/1_2_6.files/image04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www.aup.ru/books/m163/1_2_6.files/image043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2230" cy="429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1B56028" w14:textId="77777777" w:rsidR="00657ED5" w:rsidRPr="00AD458F" w:rsidRDefault="00657ED5" w:rsidP="00657ED5">
      <w:pPr>
        <w:jc w:val="both"/>
        <w:rPr>
          <w:color w:val="000000"/>
        </w:rPr>
      </w:pPr>
      <w:r w:rsidRPr="00AD458F">
        <w:rPr>
          <w:color w:val="000000"/>
        </w:rPr>
        <w:t>Таким образом, первое слагаемое в правой части формулы (7) отражает внутригрупповую дисперсию. Наконец, </w:t>
      </w:r>
      <w:r w:rsidRPr="0089512C">
        <w:rPr>
          <w:noProof/>
          <w:color w:val="000000"/>
          <w:vertAlign w:val="subscript"/>
        </w:rPr>
        <w:drawing>
          <wp:inline distT="0" distB="0" distL="0" distR="0" wp14:anchorId="1F83B7D7" wp14:editId="1B307844">
            <wp:extent cx="158750" cy="230505"/>
            <wp:effectExtent l="0" t="0" r="0" b="0"/>
            <wp:docPr id="56" name="Рисунок 56" descr="http://www.aup.ru/books/m163/1_2_6.files/image04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www.aup.ru/books/m163/1_2_6.files/image045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230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D458F">
        <w:rPr>
          <w:color w:val="000000"/>
        </w:rPr>
        <w:t> - межгрупповая дисперсия,</w:t>
      </w:r>
    </w:p>
    <w:p w14:paraId="26368DF6" w14:textId="77777777" w:rsidR="00657ED5" w:rsidRPr="00AD458F" w:rsidRDefault="00657ED5" w:rsidP="00657ED5">
      <w:pPr>
        <w:jc w:val="center"/>
        <w:rPr>
          <w:color w:val="000000"/>
        </w:rPr>
      </w:pPr>
      <w:r w:rsidRPr="0089512C">
        <w:rPr>
          <w:noProof/>
          <w:color w:val="000000"/>
          <w:vertAlign w:val="subscript"/>
        </w:rPr>
        <w:drawing>
          <wp:inline distT="0" distB="0" distL="0" distR="0" wp14:anchorId="2D829548" wp14:editId="05A5B710">
            <wp:extent cx="1343660" cy="445135"/>
            <wp:effectExtent l="0" t="0" r="0" b="0"/>
            <wp:docPr id="57" name="Рисунок 57" descr="http://www.aup.ru/books/m163/1_2_6.files/image04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www.aup.ru/books/m163/1_2_6.files/image047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660" cy="445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5F0EF63" w14:textId="77777777" w:rsidR="00657ED5" w:rsidRPr="00AD458F" w:rsidRDefault="00657ED5" w:rsidP="00657ED5">
      <w:pPr>
        <w:jc w:val="both"/>
        <w:rPr>
          <w:color w:val="000000"/>
        </w:rPr>
      </w:pPr>
      <w:r w:rsidRPr="00AD458F">
        <w:rPr>
          <w:color w:val="000000"/>
        </w:rPr>
        <w:t>          Область прикладной статистики, связанную с разложениями дисперсии типа формулы (7), называют дисперсионным анализом. В качестве примера задачи дисперсионного анализа рассмотрим проверку приведенной выше гипотезы </w:t>
      </w:r>
      <w:r w:rsidRPr="00AD458F">
        <w:rPr>
          <w:i/>
          <w:iCs/>
          <w:color w:val="000000"/>
        </w:rPr>
        <w:t>Н</w:t>
      </w:r>
      <w:r w:rsidRPr="00AD458F">
        <w:rPr>
          <w:color w:val="000000"/>
          <w:vertAlign w:val="subscript"/>
        </w:rPr>
        <w:t>0</w:t>
      </w:r>
      <w:r w:rsidRPr="00AD458F">
        <w:rPr>
          <w:color w:val="000000"/>
        </w:rPr>
        <w:t> в предположении, что результаты измерений независимы и в каждой выборке имеют нормальное распределение </w:t>
      </w:r>
      <w:r w:rsidRPr="00AD458F">
        <w:rPr>
          <w:i/>
          <w:iCs/>
          <w:color w:val="000000"/>
        </w:rPr>
        <w:t>N</w:t>
      </w:r>
      <w:r w:rsidRPr="00AD458F">
        <w:rPr>
          <w:color w:val="000000"/>
        </w:rPr>
        <w:t>(</w:t>
      </w:r>
      <w:r w:rsidRPr="00AD458F">
        <w:rPr>
          <w:i/>
          <w:iCs/>
          <w:color w:val="000000"/>
        </w:rPr>
        <w:t>m</w:t>
      </w:r>
      <w:r w:rsidRPr="00AD458F">
        <w:rPr>
          <w:color w:val="000000"/>
        </w:rPr>
        <w:t>(</w:t>
      </w:r>
      <w:r w:rsidRPr="00AD458F">
        <w:rPr>
          <w:i/>
          <w:iCs/>
          <w:color w:val="000000"/>
        </w:rPr>
        <w:t>j</w:t>
      </w:r>
      <w:r w:rsidRPr="00AD458F">
        <w:rPr>
          <w:color w:val="000000"/>
        </w:rPr>
        <w:t>), σ</w:t>
      </w:r>
      <w:r w:rsidRPr="00AD458F">
        <w:rPr>
          <w:color w:val="000000"/>
          <w:vertAlign w:val="superscript"/>
        </w:rPr>
        <w:t>2</w:t>
      </w:r>
      <w:r w:rsidRPr="00AD458F">
        <w:rPr>
          <w:color w:val="000000"/>
        </w:rPr>
        <w:t>) с одной и той же дисперсией. При справедливости </w:t>
      </w:r>
      <w:r w:rsidRPr="00AD458F">
        <w:rPr>
          <w:i/>
          <w:iCs/>
          <w:color w:val="000000"/>
        </w:rPr>
        <w:t>Н</w:t>
      </w:r>
      <w:r w:rsidRPr="00AD458F">
        <w:rPr>
          <w:color w:val="000000"/>
          <w:vertAlign w:val="subscript"/>
        </w:rPr>
        <w:t>0</w:t>
      </w:r>
      <w:r w:rsidRPr="00AD458F">
        <w:rPr>
          <w:color w:val="000000"/>
        </w:rPr>
        <w:t> первое слагаемое в правой части формулы (7), деленное на σ</w:t>
      </w:r>
      <w:r w:rsidRPr="00AD458F">
        <w:rPr>
          <w:color w:val="000000"/>
          <w:vertAlign w:val="superscript"/>
        </w:rPr>
        <w:t>2</w:t>
      </w:r>
      <w:r w:rsidRPr="00AD458F">
        <w:rPr>
          <w:color w:val="000000"/>
        </w:rPr>
        <w:t>, имеет распределение хи-квадрат с </w:t>
      </w:r>
      <w:r w:rsidRPr="00AD458F">
        <w:rPr>
          <w:i/>
          <w:iCs/>
          <w:color w:val="000000"/>
        </w:rPr>
        <w:t>k</w:t>
      </w:r>
      <w:r w:rsidRPr="00AD458F">
        <w:rPr>
          <w:color w:val="000000"/>
        </w:rPr>
        <w:t>(</w:t>
      </w:r>
      <w:r w:rsidRPr="00AD458F">
        <w:rPr>
          <w:i/>
          <w:iCs/>
          <w:color w:val="000000"/>
        </w:rPr>
        <w:t>n</w:t>
      </w:r>
      <w:r w:rsidRPr="00AD458F">
        <w:rPr>
          <w:color w:val="000000"/>
        </w:rPr>
        <w:t>-1) степенями свободы, а второе слагаемое, деленное на σ</w:t>
      </w:r>
      <w:r w:rsidRPr="00AD458F">
        <w:rPr>
          <w:color w:val="000000"/>
          <w:vertAlign w:val="superscript"/>
        </w:rPr>
        <w:t>2</w:t>
      </w:r>
      <w:r w:rsidRPr="00AD458F">
        <w:rPr>
          <w:color w:val="000000"/>
        </w:rPr>
        <w:t>, также имеет распределение хи-квадрат, но с (</w:t>
      </w:r>
      <w:r w:rsidRPr="00AD458F">
        <w:rPr>
          <w:i/>
          <w:iCs/>
          <w:color w:val="000000"/>
        </w:rPr>
        <w:t>k</w:t>
      </w:r>
      <w:r w:rsidRPr="00AD458F">
        <w:rPr>
          <w:color w:val="000000"/>
        </w:rPr>
        <w:t>-1) степенями свободы, причем первое и второе слагаемые независимы как случайные величины. Поэтому случайная величина</w:t>
      </w:r>
    </w:p>
    <w:p w14:paraId="571C6B5A" w14:textId="77777777" w:rsidR="00657ED5" w:rsidRPr="00AD458F" w:rsidRDefault="00657ED5" w:rsidP="00657ED5">
      <w:pPr>
        <w:jc w:val="center"/>
        <w:rPr>
          <w:color w:val="000000"/>
        </w:rPr>
      </w:pPr>
      <w:r w:rsidRPr="0089512C">
        <w:rPr>
          <w:noProof/>
          <w:color w:val="000000"/>
          <w:vertAlign w:val="subscript"/>
        </w:rPr>
        <w:lastRenderedPageBreak/>
        <w:drawing>
          <wp:inline distT="0" distB="0" distL="0" distR="0" wp14:anchorId="416C945D" wp14:editId="7D848C6C">
            <wp:extent cx="2480945" cy="675640"/>
            <wp:effectExtent l="0" t="0" r="0" b="0"/>
            <wp:docPr id="58" name="Рисунок 58" descr="http://www.aup.ru/books/m163/1_2_6.files/image04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www.aup.ru/books/m163/1_2_6.files/image049.gi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945" cy="675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84F32FC" w14:textId="77777777" w:rsidR="00657ED5" w:rsidRPr="00AD458F" w:rsidRDefault="00657ED5" w:rsidP="00657ED5">
      <w:pPr>
        <w:jc w:val="both"/>
        <w:rPr>
          <w:color w:val="000000"/>
        </w:rPr>
      </w:pPr>
      <w:r w:rsidRPr="00AD458F">
        <w:rPr>
          <w:color w:val="000000"/>
        </w:rPr>
        <w:t>имеет распределение Фишера с (</w:t>
      </w:r>
      <w:r w:rsidRPr="00AD458F">
        <w:rPr>
          <w:i/>
          <w:iCs/>
          <w:color w:val="000000"/>
        </w:rPr>
        <w:t>k</w:t>
      </w:r>
      <w:r w:rsidRPr="00AD458F">
        <w:rPr>
          <w:color w:val="000000"/>
        </w:rPr>
        <w:t>-1) степенями свободы числителя и </w:t>
      </w:r>
      <w:r w:rsidRPr="00AD458F">
        <w:rPr>
          <w:i/>
          <w:iCs/>
          <w:color w:val="000000"/>
        </w:rPr>
        <w:t>k</w:t>
      </w:r>
      <w:r w:rsidRPr="00AD458F">
        <w:rPr>
          <w:color w:val="000000"/>
        </w:rPr>
        <w:t>(</w:t>
      </w:r>
      <w:r w:rsidRPr="00AD458F">
        <w:rPr>
          <w:i/>
          <w:iCs/>
          <w:color w:val="000000"/>
        </w:rPr>
        <w:t>n</w:t>
      </w:r>
      <w:r w:rsidRPr="00AD458F">
        <w:rPr>
          <w:color w:val="000000"/>
        </w:rPr>
        <w:t>-1) степенями свободы знаменателя. Гипотеза </w:t>
      </w:r>
      <w:r w:rsidRPr="00AD458F">
        <w:rPr>
          <w:i/>
          <w:iCs/>
          <w:color w:val="000000"/>
        </w:rPr>
        <w:t>Н</w:t>
      </w:r>
      <w:r w:rsidRPr="00AD458F">
        <w:rPr>
          <w:color w:val="000000"/>
          <w:vertAlign w:val="subscript"/>
        </w:rPr>
        <w:t>0</w:t>
      </w:r>
      <w:r w:rsidRPr="00AD458F">
        <w:rPr>
          <w:color w:val="000000"/>
        </w:rPr>
        <w:t> принимается, если </w:t>
      </w:r>
      <w:r w:rsidRPr="00AD458F">
        <w:rPr>
          <w:i/>
          <w:iCs/>
          <w:color w:val="000000"/>
        </w:rPr>
        <w:t>F</w:t>
      </w:r>
      <w:r w:rsidRPr="00AD458F">
        <w:rPr>
          <w:color w:val="000000"/>
        </w:rPr>
        <w:t> </w:t>
      </w:r>
      <w:proofErr w:type="gramStart"/>
      <w:r w:rsidRPr="00AD458F">
        <w:rPr>
          <w:color w:val="000000"/>
          <w:u w:val="single"/>
        </w:rPr>
        <w:t>&lt;</w:t>
      </w:r>
      <w:r w:rsidRPr="00AD458F">
        <w:rPr>
          <w:color w:val="000000"/>
        </w:rPr>
        <w:t> </w:t>
      </w:r>
      <w:r w:rsidRPr="00AD458F">
        <w:rPr>
          <w:i/>
          <w:iCs/>
          <w:color w:val="000000"/>
        </w:rPr>
        <w:t>F</w:t>
      </w:r>
      <w:proofErr w:type="gramEnd"/>
      <w:r w:rsidRPr="00AD458F">
        <w:rPr>
          <w:color w:val="000000"/>
          <w:vertAlign w:val="subscript"/>
        </w:rPr>
        <w:t>1-α</w:t>
      </w:r>
      <w:r w:rsidRPr="00AD458F">
        <w:rPr>
          <w:color w:val="000000"/>
        </w:rPr>
        <w:t>, и отвергается в противном случае, где </w:t>
      </w:r>
      <w:r w:rsidRPr="00AD458F">
        <w:rPr>
          <w:i/>
          <w:iCs/>
          <w:color w:val="000000"/>
        </w:rPr>
        <w:t>F</w:t>
      </w:r>
      <w:r w:rsidRPr="00AD458F">
        <w:rPr>
          <w:color w:val="000000"/>
          <w:vertAlign w:val="subscript"/>
        </w:rPr>
        <w:t>1-α</w:t>
      </w:r>
      <w:r w:rsidRPr="00AD458F">
        <w:rPr>
          <w:color w:val="000000"/>
        </w:rPr>
        <w:t> – квантиль порядка 1-α распределения Фишера с указанными числами степеней свободы.  Такой выбор критической области определяется тем, что при </w:t>
      </w:r>
      <w:r w:rsidRPr="00AD458F">
        <w:rPr>
          <w:i/>
          <w:iCs/>
          <w:color w:val="000000"/>
        </w:rPr>
        <w:t>Н</w:t>
      </w:r>
      <w:r w:rsidRPr="00AD458F">
        <w:rPr>
          <w:color w:val="000000"/>
          <w:vertAlign w:val="subscript"/>
        </w:rPr>
        <w:t>1</w:t>
      </w:r>
      <w:r w:rsidRPr="00AD458F">
        <w:rPr>
          <w:color w:val="000000"/>
        </w:rPr>
        <w:t> величина </w:t>
      </w:r>
      <w:r w:rsidRPr="00AD458F">
        <w:rPr>
          <w:i/>
          <w:iCs/>
          <w:color w:val="000000"/>
        </w:rPr>
        <w:t>F</w:t>
      </w:r>
      <w:r w:rsidRPr="00AD458F">
        <w:rPr>
          <w:color w:val="000000"/>
        </w:rPr>
        <w:t> безгранично увеличивается при росте объема выборок </w:t>
      </w:r>
      <w:r w:rsidRPr="00AD458F">
        <w:rPr>
          <w:i/>
          <w:iCs/>
          <w:color w:val="000000"/>
        </w:rPr>
        <w:t>n</w:t>
      </w:r>
      <w:r w:rsidRPr="00AD458F">
        <w:rPr>
          <w:color w:val="000000"/>
        </w:rPr>
        <w:t>. Значения </w:t>
      </w:r>
      <w:r w:rsidRPr="00AD458F">
        <w:rPr>
          <w:i/>
          <w:iCs/>
          <w:color w:val="000000"/>
        </w:rPr>
        <w:t>F</w:t>
      </w:r>
      <w:r w:rsidRPr="00AD458F">
        <w:rPr>
          <w:color w:val="000000"/>
          <w:vertAlign w:val="subscript"/>
        </w:rPr>
        <w:t>1-α</w:t>
      </w:r>
      <w:r w:rsidRPr="00AD458F">
        <w:rPr>
          <w:color w:val="000000"/>
        </w:rPr>
        <w:t> берут из соответствующих таблиц.</w:t>
      </w:r>
    </w:p>
    <w:p w14:paraId="1163DED7" w14:textId="77777777" w:rsidR="00657ED5" w:rsidRPr="00AD458F" w:rsidRDefault="00657ED5" w:rsidP="00657ED5">
      <w:pPr>
        <w:jc w:val="both"/>
        <w:rPr>
          <w:color w:val="000000"/>
        </w:rPr>
      </w:pPr>
      <w:r w:rsidRPr="00AD458F">
        <w:rPr>
          <w:color w:val="000000"/>
        </w:rPr>
        <w:t>Разработаны непараметрические методы решения классических задач дисперсионного анализа, в частности, проверки гипотезы </w:t>
      </w:r>
      <w:r w:rsidRPr="00AD458F">
        <w:rPr>
          <w:i/>
          <w:iCs/>
          <w:color w:val="000000"/>
        </w:rPr>
        <w:t>Н</w:t>
      </w:r>
      <w:r w:rsidRPr="00AD458F">
        <w:rPr>
          <w:color w:val="000000"/>
          <w:vertAlign w:val="subscript"/>
        </w:rPr>
        <w:t>0</w:t>
      </w:r>
      <w:r w:rsidRPr="00AD458F">
        <w:rPr>
          <w:color w:val="000000"/>
        </w:rPr>
        <w:t>.</w:t>
      </w:r>
    </w:p>
    <w:p w14:paraId="3F68AA28" w14:textId="77777777" w:rsidR="00657ED5" w:rsidRPr="00AD458F" w:rsidRDefault="00657ED5" w:rsidP="00657ED5">
      <w:pPr>
        <w:jc w:val="both"/>
        <w:rPr>
          <w:color w:val="000000"/>
        </w:rPr>
      </w:pPr>
      <w:r w:rsidRPr="00AD458F">
        <w:rPr>
          <w:color w:val="000000"/>
        </w:rPr>
        <w:t>Следующий тип задач многомерного статистического анализа – задачи классификации. Они делятся на три принципиально различных вида – дискриминантный анализ, кластер-анализ, задачи группировки.</w:t>
      </w:r>
    </w:p>
    <w:p w14:paraId="2D54A862" w14:textId="77777777" w:rsidR="00657ED5" w:rsidRPr="00AD458F" w:rsidRDefault="00657ED5" w:rsidP="00657ED5">
      <w:pPr>
        <w:jc w:val="both"/>
        <w:rPr>
          <w:color w:val="000000"/>
        </w:rPr>
      </w:pPr>
      <w:r w:rsidRPr="00AD458F">
        <w:rPr>
          <w:color w:val="000000"/>
        </w:rPr>
        <w:t>Задача дискриминантного анализа состоит в нахождении правила отнесения наблюдаемого объекта к одному из ранее описанных классов. При этом объекты описывают в математической модели с помощью векторов, координаты которых – результаты наблюдения ряда признаков у каждого объекта. Классы описывают либо непосредственно в математических терминах, либо с помощью обучающих выборок. Обучающая выборка – это выборка, для каждого элемента которой указано, к какому классу он относится.</w:t>
      </w:r>
    </w:p>
    <w:p w14:paraId="23CC8800" w14:textId="77777777" w:rsidR="00657ED5" w:rsidRPr="00AD458F" w:rsidRDefault="00657ED5" w:rsidP="00657ED5">
      <w:pPr>
        <w:jc w:val="both"/>
        <w:rPr>
          <w:color w:val="000000"/>
        </w:rPr>
      </w:pPr>
      <w:r w:rsidRPr="00AD458F">
        <w:rPr>
          <w:color w:val="000000"/>
        </w:rPr>
        <w:t>Рассмотрим пример применения дискриминантного анализа для принятия решений в технической диагностике. Пусть по результатам измерения ряда параметров продукции необходимо установить наличие или отсутствие дефектов. В этом случае для элементов обучающей выборки указаны дефекты, обнаруженные в ходе дополнительного исследования, например, проведенного после определенного периода эксплуатации. Дискриминантный анализ позволяет сократить объем контроля, а также предсказать будущее поведение продукции. Дискриминантный анализ сходен с регрессионным – первый позволяет предсказывать значение качественного признака, а второй – количественного. В статистике объектов нечисловой природы разработана математическая схема, частными случаями которой являются регрессионный и дискриминантный анализы.</w:t>
      </w:r>
    </w:p>
    <w:p w14:paraId="788A3E04" w14:textId="77777777" w:rsidR="00657ED5" w:rsidRPr="00AD458F" w:rsidRDefault="00657ED5" w:rsidP="00657ED5">
      <w:pPr>
        <w:jc w:val="both"/>
        <w:rPr>
          <w:color w:val="000000"/>
        </w:rPr>
      </w:pPr>
      <w:r w:rsidRPr="00AD458F">
        <w:rPr>
          <w:color w:val="000000"/>
        </w:rPr>
        <w:t>Кластерный анализ применяют, когда по статистическим данным необходимо разделить элементы выборки на группы. Причем два элемента группы из одной и той же группы должны быть «близкими» по совокупности значений измеренных у них признаков, а два элемента из разных групп должны быть «далекими» в том же смысле. В отличие от дискриминантного анализа в кластер-анализе классы не заданы, а формируются в процессе обработки статистических данных. Например, кластер-анализ может быть применен для разбиения совокупности марок стали (или марок холодильников) на группы сходных между собой.</w:t>
      </w:r>
    </w:p>
    <w:p w14:paraId="6A7A0D5F" w14:textId="77777777" w:rsidR="00657ED5" w:rsidRPr="00AD458F" w:rsidRDefault="00657ED5" w:rsidP="00657ED5">
      <w:pPr>
        <w:jc w:val="both"/>
        <w:rPr>
          <w:color w:val="000000"/>
        </w:rPr>
      </w:pPr>
      <w:r w:rsidRPr="00AD458F">
        <w:rPr>
          <w:color w:val="000000"/>
        </w:rPr>
        <w:t>Другой вид кластер-анализа – разбиение признаков на группы близких между собой. Показателем близости признаков может служить выборочный коэффициент корреляции. Цель кластер-анализа признаков может состоять в уменьшении числа контролируемых параметров, что позволяет существенно сократить затраты на контроль. Для этого из группы тесно связанных между собой признаков (у которых коэффициент корреляции близок к 1 – своему максимальному значению) измеряют значение одного, а значения остальных рассчитывают с помощью регрессионного анализа.</w:t>
      </w:r>
    </w:p>
    <w:p w14:paraId="675FE155" w14:textId="77777777" w:rsidR="00657ED5" w:rsidRPr="00AD458F" w:rsidRDefault="00657ED5" w:rsidP="00657ED5">
      <w:pPr>
        <w:jc w:val="both"/>
        <w:rPr>
          <w:color w:val="000000"/>
        </w:rPr>
      </w:pPr>
      <w:r w:rsidRPr="00AD458F">
        <w:rPr>
          <w:color w:val="000000"/>
        </w:rPr>
        <w:t xml:space="preserve">Задачи группировки решают тогда, когда классы заранее не заданы и не обязаны быть «далекими» друг от друга. Примером является группировка студентов по учебным группам. В технике решением задачи группировки часто является параметрический ряд – возможные типоразмеры группируются согласно элементам параметрического ряда. В литературе, нормативно-технических и инструктивно-методических документах по прикладной </w:t>
      </w:r>
      <w:r w:rsidRPr="00AD458F">
        <w:rPr>
          <w:color w:val="000000"/>
        </w:rPr>
        <w:lastRenderedPageBreak/>
        <w:t>статистике также иногда используется группировка результатов наблюдений (например, при построении гистограмм).</w:t>
      </w:r>
    </w:p>
    <w:p w14:paraId="64546254" w14:textId="77777777" w:rsidR="00657ED5" w:rsidRPr="00AD458F" w:rsidRDefault="00657ED5" w:rsidP="00657ED5">
      <w:pPr>
        <w:jc w:val="both"/>
        <w:rPr>
          <w:color w:val="000000"/>
        </w:rPr>
      </w:pPr>
      <w:r w:rsidRPr="00AD458F">
        <w:rPr>
          <w:color w:val="000000"/>
        </w:rPr>
        <w:t>Задачи классификации решают не только в многомерном статистическом анализе, но и тогда, когда результатами наблюдений являются числа, функции или объекты нечисловой природы. Так, многие алгоритмы кластер-анализа используют только расстояния между объектами. Поэтому их можно применять и для классификации объектов нечисловой природы, лишь бы были заданы расстояния между ними. Простейшая задача классификации такова: даны две независимые выборки, требуется определить, представляют они два класса или один. В одномерной статистике эта задача сводится к проверке гипотезы однородности.</w:t>
      </w:r>
    </w:p>
    <w:p w14:paraId="144D124D" w14:textId="77777777" w:rsidR="00657ED5" w:rsidRPr="00AD458F" w:rsidRDefault="00657ED5" w:rsidP="00657ED5">
      <w:pPr>
        <w:jc w:val="both"/>
        <w:rPr>
          <w:color w:val="000000"/>
        </w:rPr>
      </w:pPr>
      <w:r w:rsidRPr="00AD458F">
        <w:rPr>
          <w:color w:val="000000"/>
        </w:rPr>
        <w:t>Третий раздел многомерного статистического анализа – задачи снижения размерности (сжатия информации). Цель их решения состоит в определении набора производных показателей, полученных преобразованием исходных признаков, такого, что число производных показателей значительно меньше числа исходных признаков, но они содержат возможно большую часть информации, имеющейся в исходных статистических данных. Задачи снижения размерности решают с помощью методов многомерного шкалирования, главных компонент, факторного анализа и др. Например, в простейшей модели многомерного шкалирования исходные данные – попарные расстояния </w:t>
      </w:r>
      <w:r w:rsidRPr="0089512C">
        <w:rPr>
          <w:noProof/>
          <w:color w:val="000000"/>
          <w:vertAlign w:val="subscript"/>
        </w:rPr>
        <w:drawing>
          <wp:inline distT="0" distB="0" distL="0" distR="0" wp14:anchorId="610C06DD" wp14:editId="25704166">
            <wp:extent cx="1407160" cy="238760"/>
            <wp:effectExtent l="0" t="0" r="2540" b="0"/>
            <wp:docPr id="59" name="Рисунок 59" descr="http://www.aup.ru/books/m163/1_2_6.files/image05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www.aup.ru/books/m163/1_2_6.files/image051.gif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160" cy="23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D458F">
        <w:rPr>
          <w:color w:val="000000"/>
        </w:rPr>
        <w:t> между </w:t>
      </w:r>
      <w:r w:rsidRPr="00AD458F">
        <w:rPr>
          <w:i/>
          <w:iCs/>
          <w:color w:val="000000"/>
        </w:rPr>
        <w:t>k</w:t>
      </w:r>
      <w:r w:rsidRPr="00AD458F">
        <w:rPr>
          <w:color w:val="000000"/>
        </w:rPr>
        <w:t> объектами, а цель расчетов состоит в представлении объектов точками на плоскости. Это дает возможность в буквальном смысле слова увидеть, как объекты соотносятся между собой. Для достижения этой цели необходимо каждому объекту поставить в соответствие точку на плоскости так, чтобы попарные расстояния </w:t>
      </w:r>
      <w:proofErr w:type="spellStart"/>
      <w:r w:rsidRPr="00AD458F">
        <w:rPr>
          <w:i/>
          <w:iCs/>
          <w:color w:val="000000"/>
        </w:rPr>
        <w:t>s</w:t>
      </w:r>
      <w:r w:rsidRPr="00AD458F">
        <w:rPr>
          <w:i/>
          <w:iCs/>
          <w:color w:val="000000"/>
          <w:vertAlign w:val="subscript"/>
        </w:rPr>
        <w:t>ij</w:t>
      </w:r>
      <w:proofErr w:type="spellEnd"/>
      <w:r w:rsidRPr="00AD458F">
        <w:rPr>
          <w:color w:val="000000"/>
        </w:rPr>
        <w:t> между точками, соответствующими объектам с номерами </w:t>
      </w:r>
      <w:r w:rsidRPr="00AD458F">
        <w:rPr>
          <w:i/>
          <w:iCs/>
          <w:color w:val="000000"/>
        </w:rPr>
        <w:t>i</w:t>
      </w:r>
      <w:r w:rsidRPr="00AD458F">
        <w:rPr>
          <w:color w:val="000000"/>
        </w:rPr>
        <w:t> и </w:t>
      </w:r>
      <w:r w:rsidRPr="00AD458F">
        <w:rPr>
          <w:i/>
          <w:iCs/>
          <w:color w:val="000000"/>
        </w:rPr>
        <w:t>j</w:t>
      </w:r>
      <w:r w:rsidRPr="00AD458F">
        <w:rPr>
          <w:color w:val="000000"/>
        </w:rPr>
        <w:t xml:space="preserve">, возможно точнее воспроизводили расстояния </w:t>
      </w:r>
      <w:proofErr w:type="spellStart"/>
      <w:r w:rsidRPr="00AD458F">
        <w:rPr>
          <w:color w:val="000000"/>
        </w:rPr>
        <w:t>ρ</w:t>
      </w:r>
      <w:r w:rsidRPr="00AD458F">
        <w:rPr>
          <w:i/>
          <w:iCs/>
          <w:color w:val="000000"/>
          <w:vertAlign w:val="subscript"/>
        </w:rPr>
        <w:t>ij</w:t>
      </w:r>
      <w:proofErr w:type="spellEnd"/>
      <w:r w:rsidRPr="00AD458F">
        <w:rPr>
          <w:color w:val="000000"/>
        </w:rPr>
        <w:t> между этими объектами. Согласно основной идее метода наименьших квадратов находят точки на плоскости так, чтобы величина</w:t>
      </w:r>
    </w:p>
    <w:p w14:paraId="6BC3C905" w14:textId="77777777" w:rsidR="00657ED5" w:rsidRPr="00AD458F" w:rsidRDefault="00657ED5" w:rsidP="00657ED5">
      <w:pPr>
        <w:jc w:val="center"/>
        <w:rPr>
          <w:color w:val="000000"/>
        </w:rPr>
      </w:pPr>
      <w:r w:rsidRPr="0089512C">
        <w:rPr>
          <w:noProof/>
          <w:color w:val="000000"/>
          <w:vertAlign w:val="subscript"/>
        </w:rPr>
        <w:drawing>
          <wp:inline distT="0" distB="0" distL="0" distR="0" wp14:anchorId="5E89BC38" wp14:editId="6506AC33">
            <wp:extent cx="1025525" cy="445135"/>
            <wp:effectExtent l="0" t="0" r="0" b="0"/>
            <wp:docPr id="60" name="Рисунок 60" descr="http://www.aup.ru/books/m163/1_2_6.files/image05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www.aup.ru/books/m163/1_2_6.files/image053.gif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525" cy="445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103B5BC" w14:textId="77777777" w:rsidR="00657ED5" w:rsidRPr="00C36576" w:rsidRDefault="00657ED5" w:rsidP="00657ED5">
      <w:pPr>
        <w:jc w:val="both"/>
        <w:rPr>
          <w:b/>
          <w:color w:val="000000"/>
        </w:rPr>
      </w:pPr>
      <w:r w:rsidRPr="00AD458F">
        <w:rPr>
          <w:color w:val="000000"/>
        </w:rPr>
        <w:t>достигала своего наименьшего значения. Есть и многие другие постановки задач снижения размерности и визуализации данных.</w:t>
      </w:r>
    </w:p>
    <w:p w14:paraId="165FBCF3" w14:textId="77777777" w:rsidR="00657ED5" w:rsidRPr="00E869AB" w:rsidRDefault="00657ED5" w:rsidP="00657ED5">
      <w:pPr>
        <w:tabs>
          <w:tab w:val="left" w:pos="0"/>
          <w:tab w:val="left" w:pos="426"/>
          <w:tab w:val="left" w:pos="567"/>
          <w:tab w:val="left" w:pos="851"/>
          <w:tab w:val="left" w:pos="1134"/>
        </w:tabs>
        <w:ind w:left="737"/>
        <w:jc w:val="both"/>
        <w:rPr>
          <w:color w:val="000000"/>
        </w:rPr>
      </w:pPr>
    </w:p>
    <w:p w14:paraId="71E06CF9" w14:textId="77777777" w:rsidR="00657ED5" w:rsidRDefault="00657ED5" w:rsidP="00657ED5"/>
    <w:p w14:paraId="7A048160" w14:textId="77777777" w:rsidR="00657ED5" w:rsidRDefault="00657ED5"/>
    <w:sectPr w:rsidR="00657ED5" w:rsidSect="00F247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ED5"/>
    <w:rsid w:val="001F58E9"/>
    <w:rsid w:val="00657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22088"/>
  <w15:chartTrackingRefBased/>
  <w15:docId w15:val="{ED9158BC-B6FF-4248-94D9-9252D3C0D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7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image" Target="media/image8.gif"/><Relationship Id="rId5" Type="http://schemas.openxmlformats.org/officeDocument/2006/relationships/image" Target="media/image2.gif"/><Relationship Id="rId10" Type="http://schemas.openxmlformats.org/officeDocument/2006/relationships/image" Target="media/image7.gif"/><Relationship Id="rId4" Type="http://schemas.openxmlformats.org/officeDocument/2006/relationships/image" Target="media/image1.gif"/><Relationship Id="rId9" Type="http://schemas.openxmlformats.org/officeDocument/2006/relationships/image" Target="media/image6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1241</Words>
  <Characters>7075</Characters>
  <Application>Microsoft Office Word</Application>
  <DocSecurity>0</DocSecurity>
  <Lines>58</Lines>
  <Paragraphs>16</Paragraphs>
  <ScaleCrop>false</ScaleCrop>
  <Company/>
  <LinksUpToDate>false</LinksUpToDate>
  <CharactersWithSpaces>8300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2022-11-07T09:52:00Z</dcterms:created>
  <dcterms:modified xsi:type="dcterms:W3CDTF">2022-11-07T09:52:00Z</dcterms:modified>
</cp:coreProperties>
</file>