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5730" w14:textId="79898238" w:rsidR="001F58E9" w:rsidRDefault="00657ED5" w:rsidP="001F58E9">
      <w:pPr>
        <w:ind w:firstLine="737"/>
        <w:jc w:val="center"/>
        <w:rPr>
          <w:b/>
          <w:color w:val="000000"/>
        </w:rPr>
      </w:pPr>
      <w:r>
        <w:rPr>
          <w:b/>
          <w:color w:val="000000"/>
        </w:rPr>
        <w:t>Лекция 1</w:t>
      </w:r>
      <w:r w:rsidR="001F58E9">
        <w:rPr>
          <w:b/>
          <w:color w:val="000000"/>
        </w:rPr>
        <w:t>0</w:t>
      </w:r>
      <w:r w:rsidRPr="00F51E20">
        <w:rPr>
          <w:b/>
          <w:color w:val="000000"/>
        </w:rPr>
        <w:t>.</w:t>
      </w:r>
    </w:p>
    <w:p w14:paraId="6517841F" w14:textId="77777777" w:rsidR="001F58E9" w:rsidRDefault="001F58E9" w:rsidP="001F58E9">
      <w:pPr>
        <w:ind w:firstLine="737"/>
        <w:jc w:val="center"/>
        <w:rPr>
          <w:b/>
          <w:color w:val="000000"/>
        </w:rPr>
      </w:pPr>
    </w:p>
    <w:p w14:paraId="783DBAA4" w14:textId="72A7C0A6" w:rsidR="00657ED5" w:rsidRDefault="00657ED5" w:rsidP="001F58E9">
      <w:pPr>
        <w:ind w:firstLine="737"/>
        <w:jc w:val="center"/>
        <w:rPr>
          <w:i/>
          <w:iCs/>
          <w:lang w:val="kk-KZ"/>
        </w:rPr>
      </w:pPr>
      <w:r w:rsidRPr="00EB056E">
        <w:rPr>
          <w:b/>
          <w:lang w:val="kk-KZ"/>
        </w:rPr>
        <w:t>Статистическое исследование зависимостей:</w:t>
      </w:r>
      <w:r w:rsidRPr="00EB056E">
        <w:rPr>
          <w:lang w:val="kk-KZ"/>
        </w:rPr>
        <w:t xml:space="preserve"> </w:t>
      </w:r>
      <w:r w:rsidRPr="00386448">
        <w:rPr>
          <w:i/>
          <w:iCs/>
          <w:lang w:val="kk-KZ"/>
        </w:rPr>
        <w:t>Стохастичесепя зависимость, регрессии и корреляции, регрессионный анализ.</w:t>
      </w:r>
    </w:p>
    <w:p w14:paraId="28969605" w14:textId="77777777" w:rsidR="001F58E9" w:rsidRPr="00386448" w:rsidRDefault="001F58E9" w:rsidP="00657ED5">
      <w:pPr>
        <w:ind w:firstLine="737"/>
        <w:jc w:val="both"/>
        <w:rPr>
          <w:i/>
          <w:iCs/>
          <w:color w:val="000000"/>
        </w:rPr>
      </w:pPr>
    </w:p>
    <w:p w14:paraId="732E2C4C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          Теория регрессионного анализа описана и расчетные формулы даны в специальной литературе [</w:t>
      </w:r>
      <w:r>
        <w:rPr>
          <w:color w:val="000000"/>
        </w:rPr>
        <w:t>1-6</w:t>
      </w:r>
      <w:r w:rsidRPr="00AD458F">
        <w:rPr>
          <w:color w:val="000000"/>
        </w:rPr>
        <w:t>]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силлабуса</w:t>
      </w:r>
      <w:proofErr w:type="spellEnd"/>
      <w:r w:rsidRPr="00AD458F">
        <w:rPr>
          <w:color w:val="000000"/>
        </w:rPr>
        <w:t>. В этой теории разработаны методы точечного и интервального оценивания параметров, задающих функциональную зависимость, а также непараметрические методы оценивания этой зависимости, методы проверки различных гипотез, связанных с регрессионными зависимостями. Выбор планов эксперимента, т.е. точек </w:t>
      </w:r>
      <w:proofErr w:type="spellStart"/>
      <w:r w:rsidRPr="00AD458F">
        <w:rPr>
          <w:i/>
          <w:iCs/>
          <w:color w:val="000000"/>
        </w:rPr>
        <w:t>x</w:t>
      </w:r>
      <w:r w:rsidRPr="00AD458F">
        <w:rPr>
          <w:i/>
          <w:iCs/>
          <w:color w:val="000000"/>
          <w:vertAlign w:val="subscript"/>
        </w:rPr>
        <w:t>i</w:t>
      </w:r>
      <w:proofErr w:type="spellEnd"/>
      <w:r w:rsidRPr="00AD458F">
        <w:rPr>
          <w:color w:val="000000"/>
        </w:rPr>
        <w:t>, в которых будут проводиться эксперименты по наблюдению </w:t>
      </w:r>
      <w:proofErr w:type="spellStart"/>
      <w:r w:rsidRPr="00AD458F">
        <w:rPr>
          <w:i/>
          <w:iCs/>
          <w:color w:val="000000"/>
        </w:rPr>
        <w:t>y</w:t>
      </w:r>
      <w:r w:rsidRPr="00AD458F">
        <w:rPr>
          <w:i/>
          <w:iCs/>
          <w:color w:val="000000"/>
          <w:vertAlign w:val="subscript"/>
        </w:rPr>
        <w:t>i</w:t>
      </w:r>
      <w:proofErr w:type="spellEnd"/>
      <w:r w:rsidRPr="00AD458F">
        <w:rPr>
          <w:color w:val="000000"/>
        </w:rPr>
        <w:t> – предмет теории планирования эксперимента.  </w:t>
      </w:r>
    </w:p>
    <w:p w14:paraId="4D66503A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          Дисперсионный анализ применяют для изучения влияния качественных признаков на количественную переменную. Например, пусть имеются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 выборок результатов измерений количественного показателя качества единиц продукции, выпущенных на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 станках, т.е. набор чисел (</w:t>
      </w:r>
      <w:r w:rsidRPr="00AD458F">
        <w:rPr>
          <w:i/>
          <w:iCs/>
          <w:color w:val="000000"/>
        </w:rPr>
        <w:t>x</w:t>
      </w:r>
      <w:r w:rsidRPr="00AD458F">
        <w:rPr>
          <w:color w:val="000000"/>
          <w:vertAlign w:val="subscript"/>
        </w:rPr>
        <w:t>1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), </w:t>
      </w:r>
      <w:r w:rsidRPr="00AD458F">
        <w:rPr>
          <w:i/>
          <w:iCs/>
          <w:color w:val="000000"/>
        </w:rPr>
        <w:t>x</w:t>
      </w:r>
      <w:r w:rsidRPr="00AD458F">
        <w:rPr>
          <w:color w:val="000000"/>
          <w:vertAlign w:val="subscript"/>
        </w:rPr>
        <w:t>2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 xml:space="preserve">), </w:t>
      </w:r>
      <w:proofErr w:type="gramStart"/>
      <w:r w:rsidRPr="00AD458F">
        <w:rPr>
          <w:color w:val="000000"/>
        </w:rPr>
        <w:t>… ,</w:t>
      </w:r>
      <w:proofErr w:type="gramEnd"/>
      <w:r w:rsidRPr="00AD458F">
        <w:rPr>
          <w:color w:val="000000"/>
        </w:rPr>
        <w:t> </w:t>
      </w:r>
      <w:proofErr w:type="spellStart"/>
      <w:r w:rsidRPr="00AD458F">
        <w:rPr>
          <w:i/>
          <w:iCs/>
          <w:color w:val="000000"/>
        </w:rPr>
        <w:t>x</w:t>
      </w:r>
      <w:r w:rsidRPr="00AD458F">
        <w:rPr>
          <w:color w:val="000000"/>
          <w:vertAlign w:val="subscript"/>
        </w:rPr>
        <w:t>n</w:t>
      </w:r>
      <w:proofErr w:type="spellEnd"/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)), где</w:t>
      </w:r>
      <w:r w:rsidRPr="00AD458F">
        <w:rPr>
          <w:i/>
          <w:iCs/>
          <w:color w:val="000000"/>
        </w:rPr>
        <w:t> j</w:t>
      </w:r>
      <w:r w:rsidRPr="00AD458F">
        <w:rPr>
          <w:color w:val="000000"/>
        </w:rPr>
        <w:t> – номер станка,</w:t>
      </w:r>
      <w:r w:rsidRPr="00AD458F">
        <w:rPr>
          <w:i/>
          <w:iCs/>
          <w:color w:val="000000"/>
        </w:rPr>
        <w:t> j</w:t>
      </w:r>
      <w:r w:rsidRPr="00AD458F">
        <w:rPr>
          <w:color w:val="000000"/>
        </w:rPr>
        <w:t> = 1, 2, …,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, а 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 – объем выборки. В распространенной постановке дисперсионного анализа предполагают, что результаты измерений независимы и в каждой выборке имеют нормальное распределение 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m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), σ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) с одной и той же дисперсией. Хорошо разработаны и непараметрические постановки.</w:t>
      </w:r>
    </w:p>
    <w:p w14:paraId="69209B35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          Проверка однородности качества продукции, т.е. отсутствия влияния номера станка на качество продукции, сводится к проверке гипотезы</w:t>
      </w:r>
      <w:r>
        <w:rPr>
          <w:color w:val="000000"/>
        </w:rPr>
        <w:t xml:space="preserve"> </w:t>
      </w:r>
      <w:r w:rsidRPr="00AD458F">
        <w:rPr>
          <w:i/>
          <w:iCs/>
          <w:color w:val="000000"/>
        </w:rPr>
        <w:t>H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: </w:t>
      </w:r>
      <w:proofErr w:type="gramStart"/>
      <w:r w:rsidRPr="00AD458F">
        <w:rPr>
          <w:i/>
          <w:iCs/>
          <w:color w:val="000000"/>
        </w:rPr>
        <w:t>m</w:t>
      </w:r>
      <w:r w:rsidRPr="00AD458F">
        <w:rPr>
          <w:color w:val="000000"/>
        </w:rPr>
        <w:t>(</w:t>
      </w:r>
      <w:proofErr w:type="gramEnd"/>
      <w:r w:rsidRPr="00AD458F">
        <w:rPr>
          <w:color w:val="000000"/>
        </w:rPr>
        <w:t>1) = </w:t>
      </w:r>
      <w:r w:rsidRPr="00AD458F">
        <w:rPr>
          <w:i/>
          <w:iCs/>
          <w:color w:val="000000"/>
        </w:rPr>
        <w:t>m</w:t>
      </w:r>
      <w:r w:rsidRPr="00AD458F">
        <w:rPr>
          <w:color w:val="000000"/>
        </w:rPr>
        <w:t>(2) = … = </w:t>
      </w:r>
      <w:r w:rsidRPr="00AD458F">
        <w:rPr>
          <w:i/>
          <w:iCs/>
          <w:color w:val="000000"/>
        </w:rPr>
        <w:t>m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).</w:t>
      </w:r>
    </w:p>
    <w:p w14:paraId="22EF2DCD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В дисперсионном анализе разработаны методы проверки подобных гипотез. Теория дисперсионного анализа и расчетные формулы рассмотрены в специальной литературе</w:t>
      </w:r>
      <w:r>
        <w:rPr>
          <w:color w:val="000000"/>
        </w:rPr>
        <w:t xml:space="preserve">, предложенной в </w:t>
      </w:r>
      <w:proofErr w:type="spellStart"/>
      <w:r>
        <w:rPr>
          <w:color w:val="000000"/>
        </w:rPr>
        <w:t>силлабусе</w:t>
      </w:r>
      <w:proofErr w:type="spellEnd"/>
      <w:r>
        <w:rPr>
          <w:color w:val="000000"/>
        </w:rPr>
        <w:t>.</w:t>
      </w:r>
    </w:p>
    <w:p w14:paraId="4CBCDA61" w14:textId="77777777" w:rsidR="00657ED5" w:rsidRDefault="00657ED5" w:rsidP="00657ED5">
      <w:pPr>
        <w:ind w:firstLine="709"/>
        <w:jc w:val="both"/>
        <w:rPr>
          <w:color w:val="000000"/>
        </w:rPr>
      </w:pPr>
      <w:r w:rsidRPr="00AD458F">
        <w:rPr>
          <w:color w:val="000000"/>
        </w:rPr>
        <w:t>Гипотезу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 проверяют против альтернативной гипотезы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1</w:t>
      </w:r>
      <w:r w:rsidRPr="00AD458F">
        <w:rPr>
          <w:color w:val="000000"/>
        </w:rPr>
        <w:t xml:space="preserve">, согласно которой хотя бы одно из указанных равенств не выполнено. Проверка этой гипотезы основана на следующем «разложении дисперсий», указанном </w:t>
      </w:r>
      <w:proofErr w:type="spellStart"/>
      <w:r w:rsidRPr="00AD458F">
        <w:rPr>
          <w:color w:val="000000"/>
        </w:rPr>
        <w:t>Р.А.Фишером</w:t>
      </w:r>
      <w:proofErr w:type="spellEnd"/>
      <w:r w:rsidRPr="00AD458F">
        <w:rPr>
          <w:color w:val="000000"/>
        </w:rPr>
        <w:t>:</w:t>
      </w:r>
    </w:p>
    <w:p w14:paraId="04128AF7" w14:textId="77777777" w:rsidR="00657ED5" w:rsidRPr="00AD458F" w:rsidRDefault="00657ED5" w:rsidP="00657ED5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 </w:t>
      </w:r>
      <w:r w:rsidRPr="0089512C">
        <w:rPr>
          <w:noProof/>
          <w:color w:val="000000"/>
          <w:vertAlign w:val="subscript"/>
        </w:rPr>
        <w:drawing>
          <wp:inline distT="0" distB="0" distL="0" distR="0" wp14:anchorId="49C17D39" wp14:editId="1EEDDBC9">
            <wp:extent cx="1749425" cy="445135"/>
            <wp:effectExtent l="0" t="0" r="0" b="0"/>
            <wp:docPr id="53" name="Рисунок 53" descr="http://www.aup.ru/books/m163/1_2_6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p.ru/books/m163/1_2_6.files/image03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69E365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где </w:t>
      </w:r>
      <w:r w:rsidRPr="00AD458F">
        <w:rPr>
          <w:i/>
          <w:iCs/>
          <w:color w:val="000000"/>
        </w:rPr>
        <w:t>s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 – выборочная дисперсия в объединенной выборке, т.е.</w:t>
      </w:r>
    </w:p>
    <w:p w14:paraId="37458657" w14:textId="77777777" w:rsidR="00657ED5" w:rsidRPr="00AD458F" w:rsidRDefault="00657ED5" w:rsidP="00657ED5">
      <w:pPr>
        <w:jc w:val="center"/>
        <w:rPr>
          <w:color w:val="000000"/>
        </w:rPr>
      </w:pPr>
      <w:r w:rsidRPr="0089512C">
        <w:rPr>
          <w:noProof/>
          <w:color w:val="000000"/>
          <w:vertAlign w:val="subscript"/>
        </w:rPr>
        <w:drawing>
          <wp:inline distT="0" distB="0" distL="0" distR="0" wp14:anchorId="26156CF6" wp14:editId="1F01E306">
            <wp:extent cx="2926080" cy="445135"/>
            <wp:effectExtent l="0" t="0" r="0" b="0"/>
            <wp:docPr id="54" name="Рисунок 54" descr="http://www.aup.ru/books/m163/1_2_6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up.ru/books/m163/1_2_6.files/image04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F799F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Далее, </w:t>
      </w:r>
      <w:r w:rsidRPr="00AD458F">
        <w:rPr>
          <w:i/>
          <w:iCs/>
          <w:color w:val="000000"/>
        </w:rPr>
        <w:t>s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) – выборочная дисперсия в 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-ой группе,</w:t>
      </w:r>
    </w:p>
    <w:p w14:paraId="7B297D35" w14:textId="77777777" w:rsidR="00657ED5" w:rsidRPr="00AD458F" w:rsidRDefault="00657ED5" w:rsidP="00657ED5">
      <w:pPr>
        <w:jc w:val="center"/>
        <w:rPr>
          <w:color w:val="000000"/>
        </w:rPr>
      </w:pPr>
      <w:r w:rsidRPr="0089512C">
        <w:rPr>
          <w:noProof/>
          <w:color w:val="000000"/>
          <w:vertAlign w:val="subscript"/>
        </w:rPr>
        <w:drawing>
          <wp:inline distT="0" distB="0" distL="0" distR="0" wp14:anchorId="266F25DD" wp14:editId="110C4A1B">
            <wp:extent cx="3872230" cy="429260"/>
            <wp:effectExtent l="0" t="0" r="0" b="0"/>
            <wp:docPr id="55" name="Рисунок 55" descr="http://www.aup.ru/books/m163/1_2_6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up.ru/books/m163/1_2_6.files/image04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56028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Таким образом, первое слагаемое в правой части формулы (7) отражает внутригрупповую дисперсию. Наконец, </w:t>
      </w:r>
      <w:r w:rsidRPr="0089512C">
        <w:rPr>
          <w:noProof/>
          <w:color w:val="000000"/>
          <w:vertAlign w:val="subscript"/>
        </w:rPr>
        <w:drawing>
          <wp:inline distT="0" distB="0" distL="0" distR="0" wp14:anchorId="1F83B7D7" wp14:editId="1B307844">
            <wp:extent cx="158750" cy="230505"/>
            <wp:effectExtent l="0" t="0" r="0" b="0"/>
            <wp:docPr id="56" name="Рисунок 56" descr="http://www.aup.ru/books/m163/1_2_6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up.ru/books/m163/1_2_6.files/image04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58F">
        <w:rPr>
          <w:color w:val="000000"/>
        </w:rPr>
        <w:t> - межгрупповая дисперсия,</w:t>
      </w:r>
    </w:p>
    <w:p w14:paraId="26368DF6" w14:textId="77777777" w:rsidR="00657ED5" w:rsidRPr="00AD458F" w:rsidRDefault="00657ED5" w:rsidP="00657ED5">
      <w:pPr>
        <w:jc w:val="center"/>
        <w:rPr>
          <w:color w:val="000000"/>
        </w:rPr>
      </w:pPr>
      <w:r w:rsidRPr="0089512C">
        <w:rPr>
          <w:noProof/>
          <w:color w:val="000000"/>
          <w:vertAlign w:val="subscript"/>
        </w:rPr>
        <w:drawing>
          <wp:inline distT="0" distB="0" distL="0" distR="0" wp14:anchorId="2D829548" wp14:editId="05A5B710">
            <wp:extent cx="1343660" cy="445135"/>
            <wp:effectExtent l="0" t="0" r="0" b="0"/>
            <wp:docPr id="57" name="Рисунок 57" descr="http://www.aup.ru/books/m163/1_2_6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up.ru/books/m163/1_2_6.files/image04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0EF63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          Область прикладной статистики, связанную с разложениями дисперсии типа формулы (7), называют дисперсионным анализом. В качестве примера задачи дисперсионного анализа рассмотрим проверку приведенной выше гипотезы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 в предположении, что результаты измерений независимы и в каждой выборке имеют нормальное распределение 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m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>), σ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) с одной и той же дисперсией. При справедливости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 первое слагаемое в правой части формулы (7), деленное на σ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, имеет распределение хи-квадрат с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-1) степенями свободы, а второе слагаемое, деленное на σ</w:t>
      </w:r>
      <w:r w:rsidRPr="00AD458F">
        <w:rPr>
          <w:color w:val="000000"/>
          <w:vertAlign w:val="superscript"/>
        </w:rPr>
        <w:t>2</w:t>
      </w:r>
      <w:r w:rsidRPr="00AD458F">
        <w:rPr>
          <w:color w:val="000000"/>
        </w:rPr>
        <w:t>, также имеет распределение хи-квадрат, но с (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-1) степенями свободы, причем первое и второе слагаемые независимы как случайные величины. Поэтому случайная величина</w:t>
      </w:r>
    </w:p>
    <w:p w14:paraId="571C6B5A" w14:textId="77777777" w:rsidR="00657ED5" w:rsidRPr="00AD458F" w:rsidRDefault="00657ED5" w:rsidP="00657ED5">
      <w:pPr>
        <w:jc w:val="center"/>
        <w:rPr>
          <w:color w:val="000000"/>
        </w:rPr>
      </w:pPr>
      <w:r w:rsidRPr="0089512C">
        <w:rPr>
          <w:noProof/>
          <w:color w:val="000000"/>
          <w:vertAlign w:val="subscript"/>
        </w:rPr>
        <w:lastRenderedPageBreak/>
        <w:drawing>
          <wp:inline distT="0" distB="0" distL="0" distR="0" wp14:anchorId="416C945D" wp14:editId="7D848C6C">
            <wp:extent cx="2480945" cy="675640"/>
            <wp:effectExtent l="0" t="0" r="0" b="0"/>
            <wp:docPr id="58" name="Рисунок 58" descr="http://www.aup.ru/books/m163/1_2_6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up.ru/books/m163/1_2_6.files/image04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F32FC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имеет распределение Фишера с (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-1) степенями свободы числителя и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(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-1) степенями свободы знаменателя. Гипотеза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 принимается, если </w:t>
      </w:r>
      <w:r w:rsidRPr="00AD458F">
        <w:rPr>
          <w:i/>
          <w:iCs/>
          <w:color w:val="000000"/>
        </w:rPr>
        <w:t>F</w:t>
      </w:r>
      <w:r w:rsidRPr="00AD458F">
        <w:rPr>
          <w:color w:val="000000"/>
        </w:rPr>
        <w:t> </w:t>
      </w:r>
      <w:proofErr w:type="gramStart"/>
      <w:r w:rsidRPr="00AD458F">
        <w:rPr>
          <w:color w:val="000000"/>
          <w:u w:val="single"/>
        </w:rPr>
        <w:t>&lt;</w:t>
      </w:r>
      <w:r w:rsidRPr="00AD458F">
        <w:rPr>
          <w:color w:val="000000"/>
        </w:rPr>
        <w:t> </w:t>
      </w:r>
      <w:r w:rsidRPr="00AD458F">
        <w:rPr>
          <w:i/>
          <w:iCs/>
          <w:color w:val="000000"/>
        </w:rPr>
        <w:t>F</w:t>
      </w:r>
      <w:proofErr w:type="gramEnd"/>
      <w:r w:rsidRPr="00AD458F">
        <w:rPr>
          <w:color w:val="000000"/>
          <w:vertAlign w:val="subscript"/>
        </w:rPr>
        <w:t>1-α</w:t>
      </w:r>
      <w:r w:rsidRPr="00AD458F">
        <w:rPr>
          <w:color w:val="000000"/>
        </w:rPr>
        <w:t>, и отвергается в противном случае, где </w:t>
      </w:r>
      <w:r w:rsidRPr="00AD458F">
        <w:rPr>
          <w:i/>
          <w:iCs/>
          <w:color w:val="000000"/>
        </w:rPr>
        <w:t>F</w:t>
      </w:r>
      <w:r w:rsidRPr="00AD458F">
        <w:rPr>
          <w:color w:val="000000"/>
          <w:vertAlign w:val="subscript"/>
        </w:rPr>
        <w:t>1-α</w:t>
      </w:r>
      <w:r w:rsidRPr="00AD458F">
        <w:rPr>
          <w:color w:val="000000"/>
        </w:rPr>
        <w:t> – квантиль порядка 1-α распределения Фишера с указанными числами степеней свободы.  Такой выбор критической области определяется тем, что при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1</w:t>
      </w:r>
      <w:r w:rsidRPr="00AD458F">
        <w:rPr>
          <w:color w:val="000000"/>
        </w:rPr>
        <w:t> величина </w:t>
      </w:r>
      <w:r w:rsidRPr="00AD458F">
        <w:rPr>
          <w:i/>
          <w:iCs/>
          <w:color w:val="000000"/>
        </w:rPr>
        <w:t>F</w:t>
      </w:r>
      <w:r w:rsidRPr="00AD458F">
        <w:rPr>
          <w:color w:val="000000"/>
        </w:rPr>
        <w:t> безгранично увеличивается при росте объема выборок </w:t>
      </w:r>
      <w:r w:rsidRPr="00AD458F">
        <w:rPr>
          <w:i/>
          <w:iCs/>
          <w:color w:val="000000"/>
        </w:rPr>
        <w:t>n</w:t>
      </w:r>
      <w:r w:rsidRPr="00AD458F">
        <w:rPr>
          <w:color w:val="000000"/>
        </w:rPr>
        <w:t>. Значения </w:t>
      </w:r>
      <w:r w:rsidRPr="00AD458F">
        <w:rPr>
          <w:i/>
          <w:iCs/>
          <w:color w:val="000000"/>
        </w:rPr>
        <w:t>F</w:t>
      </w:r>
      <w:r w:rsidRPr="00AD458F">
        <w:rPr>
          <w:color w:val="000000"/>
          <w:vertAlign w:val="subscript"/>
        </w:rPr>
        <w:t>1-α</w:t>
      </w:r>
      <w:r w:rsidRPr="00AD458F">
        <w:rPr>
          <w:color w:val="000000"/>
        </w:rPr>
        <w:t> берут из соответствующих таблиц.</w:t>
      </w:r>
    </w:p>
    <w:p w14:paraId="1163DED7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Разработаны непараметрические методы решения классических задач дисперсионного анализа, в частности, проверки гипотезы </w:t>
      </w:r>
      <w:r w:rsidRPr="00AD458F">
        <w:rPr>
          <w:i/>
          <w:iCs/>
          <w:color w:val="000000"/>
        </w:rPr>
        <w:t>Н</w:t>
      </w:r>
      <w:r w:rsidRPr="00AD458F">
        <w:rPr>
          <w:color w:val="000000"/>
          <w:vertAlign w:val="subscript"/>
        </w:rPr>
        <w:t>0</w:t>
      </w:r>
      <w:r w:rsidRPr="00AD458F">
        <w:rPr>
          <w:color w:val="000000"/>
        </w:rPr>
        <w:t>.</w:t>
      </w:r>
    </w:p>
    <w:p w14:paraId="3F68AA28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Следующий тип задач многомерного статистического анализа – задачи классификации. Они делятся на три принципиально различных вида – дискриминантный анализ, кластер-анализ, задачи группировки.</w:t>
      </w:r>
    </w:p>
    <w:p w14:paraId="2D54A862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Задача дискриминантного анализа состоит в нахождении правила отнесения наблюдаемого объекта к одному из ранее описанных классов. При этом объекты описывают в математической модели с помощью векторов, координаты которых – результаты наблюдения ряда признаков у каждого объекта. Классы описывают либо непосредственно в математических терминах, либо с помощью обучающих выборок. Обучающая выборка – это выборка, для каждого элемента которой указано, к какому классу он относится.</w:t>
      </w:r>
    </w:p>
    <w:p w14:paraId="23CC8800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Рассмотрим пример применения дискриминантного анализа для принятия решений в технической диагностике. Пусть по результатам измерения ряда параметров продукции необходимо установить наличие или отсутствие дефектов. В этом случае для элементов обучающей выборки указаны дефекты, обнаруженные в ходе дополнительного исследования, например, проведенного после определенного периода эксплуатации. Дискриминантный анализ позволяет сократить объем контроля, а также предсказать будущее поведение продукции. Дискриминантный анализ сходен с регрессионным – первый позволяет предсказывать значение качественного признака, а второй – количественного. В статистике объектов нечисловой природы разработана математическая схема, частными случаями которой являются регрессионный и дискриминантный анализы.</w:t>
      </w:r>
    </w:p>
    <w:p w14:paraId="788A3E04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Кластерный анализ применяют, когда по статистическим данным необходимо разделить элементы выборки на группы. Причем два элемента группы из одной и той же группы должны быть «близкими» по совокупности значений измеренных у них признаков, а два элемента из разных групп должны быть «далекими» в том же смысле. В отличие от дискриминантного анализа в кластер-анализе классы не заданы, а формируются в процессе обработки статистических данных. Например, кластер-анализ может быть применен для разбиения совокупности марок стали (или марок холодильников) на группы сходных между собой.</w:t>
      </w:r>
    </w:p>
    <w:p w14:paraId="6A7A0D5F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Другой вид кластер-анализа – разбиение признаков на группы близких между собой. Показателем близости признаков может служить выборочный коэффициент корреляции. Цель кластер-анализа признаков может состоять в уменьшении числа контролируемых параметров, что позволяет существенно сократить затраты на контроль. Для этого из группы тесно связанных между собой признаков (у которых коэффициент корреляции близок к 1 – своему максимальному значению) измеряют значение одного, а значения остальных рассчитывают с помощью регрессионного анализа.</w:t>
      </w:r>
    </w:p>
    <w:p w14:paraId="675FE155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 xml:space="preserve">Задачи группировки решают тогда, когда классы заранее не заданы и не обязаны быть «далекими» друг от друга. Примером является группировка студентов по учебным группам. В технике решением задачи группировки часто является параметрический ряд – возможные типоразмеры группируются согласно элементам параметрического ряда. В литературе, нормативно-технических и инструктивно-методических документах по прикладной </w:t>
      </w:r>
      <w:r w:rsidRPr="00AD458F">
        <w:rPr>
          <w:color w:val="000000"/>
        </w:rPr>
        <w:lastRenderedPageBreak/>
        <w:t>статистике также иногда используется группировка результатов наблюдений (например, при построении гистограмм).</w:t>
      </w:r>
    </w:p>
    <w:p w14:paraId="64546254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Задачи классификации решают не только в многомерном статистическом анализе, но и тогда, когда результатами наблюдений являются числа, функции или объекты нечисловой природы. Так, многие алгоритмы кластер-анализа используют только расстояния между объектами. Поэтому их можно применять и для классификации объектов нечисловой природы, лишь бы были заданы расстояния между ними. Простейшая задача классификации такова: даны две независимые выборки, требуется определить, представляют они два класса или один. В одномерной статистике эта задача сводится к проверке гипотезы однородности.</w:t>
      </w:r>
    </w:p>
    <w:p w14:paraId="144D124D" w14:textId="77777777" w:rsidR="00657ED5" w:rsidRPr="00AD458F" w:rsidRDefault="00657ED5" w:rsidP="00657ED5">
      <w:pPr>
        <w:jc w:val="both"/>
        <w:rPr>
          <w:color w:val="000000"/>
        </w:rPr>
      </w:pPr>
      <w:r w:rsidRPr="00AD458F">
        <w:rPr>
          <w:color w:val="000000"/>
        </w:rPr>
        <w:t>Третий раздел многомерного статистического анализа – задачи снижения размерности (сжатия информации). Цель их решения состоит в определении набора производных показателей, полученных преобразованием исходных признаков, такого, что число производных показателей значительно меньше числа исходных признаков, но они содержат возможно большую часть информации, имеющейся в исходных статистических данных. Задачи снижения размерности решают с помощью методов многомерного шкалирования, главных компонент, факторного анализа и др. Например, в простейшей модели многомерного шкалирования исходные данные – попарные расстояния </w:t>
      </w:r>
      <w:r w:rsidRPr="0089512C">
        <w:rPr>
          <w:noProof/>
          <w:color w:val="000000"/>
          <w:vertAlign w:val="subscript"/>
        </w:rPr>
        <w:drawing>
          <wp:inline distT="0" distB="0" distL="0" distR="0" wp14:anchorId="610C06DD" wp14:editId="25704166">
            <wp:extent cx="1407160" cy="238760"/>
            <wp:effectExtent l="0" t="0" r="2540" b="0"/>
            <wp:docPr id="59" name="Рисунок 59" descr="http://www.aup.ru/books/m163/1_2_6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up.ru/books/m163/1_2_6.files/image05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58F">
        <w:rPr>
          <w:color w:val="000000"/>
        </w:rPr>
        <w:t> между </w:t>
      </w:r>
      <w:r w:rsidRPr="00AD458F">
        <w:rPr>
          <w:i/>
          <w:iCs/>
          <w:color w:val="000000"/>
        </w:rPr>
        <w:t>k</w:t>
      </w:r>
      <w:r w:rsidRPr="00AD458F">
        <w:rPr>
          <w:color w:val="000000"/>
        </w:rPr>
        <w:t> объектами, а цель расчетов состоит в представлении объектов точками на плоскости. Это дает возможность в буквальном смысле слова увидеть, как объекты соотносятся между собой. Для достижения этой цели необходимо каждому объекту поставить в соответствие точку на плоскости так, чтобы попарные расстояния </w:t>
      </w:r>
      <w:proofErr w:type="spellStart"/>
      <w:r w:rsidRPr="00AD458F">
        <w:rPr>
          <w:i/>
          <w:iCs/>
          <w:color w:val="000000"/>
        </w:rPr>
        <w:t>s</w:t>
      </w:r>
      <w:r w:rsidRPr="00AD458F">
        <w:rPr>
          <w:i/>
          <w:iCs/>
          <w:color w:val="000000"/>
          <w:vertAlign w:val="subscript"/>
        </w:rPr>
        <w:t>ij</w:t>
      </w:r>
      <w:proofErr w:type="spellEnd"/>
      <w:r w:rsidRPr="00AD458F">
        <w:rPr>
          <w:color w:val="000000"/>
        </w:rPr>
        <w:t> между точками, соответствующими объектам с номерами </w:t>
      </w:r>
      <w:r w:rsidRPr="00AD458F">
        <w:rPr>
          <w:i/>
          <w:iCs/>
          <w:color w:val="000000"/>
        </w:rPr>
        <w:t>i</w:t>
      </w:r>
      <w:r w:rsidRPr="00AD458F">
        <w:rPr>
          <w:color w:val="000000"/>
        </w:rPr>
        <w:t> и </w:t>
      </w:r>
      <w:r w:rsidRPr="00AD458F">
        <w:rPr>
          <w:i/>
          <w:iCs/>
          <w:color w:val="000000"/>
        </w:rPr>
        <w:t>j</w:t>
      </w:r>
      <w:r w:rsidRPr="00AD458F">
        <w:rPr>
          <w:color w:val="000000"/>
        </w:rPr>
        <w:t xml:space="preserve">, возможно точнее воспроизводили расстояния </w:t>
      </w:r>
      <w:proofErr w:type="spellStart"/>
      <w:r w:rsidRPr="00AD458F">
        <w:rPr>
          <w:color w:val="000000"/>
        </w:rPr>
        <w:t>ρ</w:t>
      </w:r>
      <w:r w:rsidRPr="00AD458F">
        <w:rPr>
          <w:i/>
          <w:iCs/>
          <w:color w:val="000000"/>
          <w:vertAlign w:val="subscript"/>
        </w:rPr>
        <w:t>ij</w:t>
      </w:r>
      <w:proofErr w:type="spellEnd"/>
      <w:r w:rsidRPr="00AD458F">
        <w:rPr>
          <w:color w:val="000000"/>
        </w:rPr>
        <w:t> между этими объектами. Согласно основной идее метода наименьших квадратов находят точки на плоскости так, чтобы величина</w:t>
      </w:r>
    </w:p>
    <w:p w14:paraId="6BC3C905" w14:textId="77777777" w:rsidR="00657ED5" w:rsidRPr="00AD458F" w:rsidRDefault="00657ED5" w:rsidP="00657ED5">
      <w:pPr>
        <w:jc w:val="center"/>
        <w:rPr>
          <w:color w:val="000000"/>
        </w:rPr>
      </w:pPr>
      <w:r w:rsidRPr="0089512C">
        <w:rPr>
          <w:noProof/>
          <w:color w:val="000000"/>
          <w:vertAlign w:val="subscript"/>
        </w:rPr>
        <w:drawing>
          <wp:inline distT="0" distB="0" distL="0" distR="0" wp14:anchorId="5E89BC38" wp14:editId="6506AC33">
            <wp:extent cx="1025525" cy="445135"/>
            <wp:effectExtent l="0" t="0" r="0" b="0"/>
            <wp:docPr id="60" name="Рисунок 60" descr="http://www.aup.ru/books/m163/1_2_6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up.ru/books/m163/1_2_6.files/image05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3B5BC" w14:textId="77777777" w:rsidR="00657ED5" w:rsidRPr="00C36576" w:rsidRDefault="00657ED5" w:rsidP="00657ED5">
      <w:pPr>
        <w:jc w:val="both"/>
        <w:rPr>
          <w:b/>
          <w:color w:val="000000"/>
        </w:rPr>
      </w:pPr>
      <w:r w:rsidRPr="00AD458F">
        <w:rPr>
          <w:color w:val="000000"/>
        </w:rPr>
        <w:t>достигала своего наименьшего значения. Есть и многие другие постановки задач снижения размерности и визуализации данных.</w:t>
      </w:r>
    </w:p>
    <w:p w14:paraId="165FBCF3" w14:textId="77777777" w:rsidR="00657ED5" w:rsidRPr="00E869AB" w:rsidRDefault="00657ED5" w:rsidP="00657ED5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ind w:left="737"/>
        <w:jc w:val="both"/>
        <w:rPr>
          <w:color w:val="000000"/>
        </w:rPr>
      </w:pPr>
    </w:p>
    <w:p w14:paraId="71E06CF9" w14:textId="77777777" w:rsidR="00657ED5" w:rsidRDefault="00657ED5" w:rsidP="00657ED5"/>
    <w:p w14:paraId="7A048160" w14:textId="77777777" w:rsidR="00657ED5" w:rsidRDefault="00657ED5"/>
    <w:sectPr w:rsidR="00657ED5" w:rsidSect="00F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D5"/>
    <w:rsid w:val="001F58E9"/>
    <w:rsid w:val="0065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2088"/>
  <w15:chartTrackingRefBased/>
  <w15:docId w15:val="{ED9158BC-B6FF-4248-94D9-9252D3C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2022-11-07T09:52:00Z</dcterms:created>
  <dcterms:modified xsi:type="dcterms:W3CDTF">2022-11-07T09:52:00Z</dcterms:modified>
</cp:coreProperties>
</file>