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623D" w14:textId="06249413" w:rsidR="00586771" w:rsidRDefault="00B077FE" w:rsidP="00586771">
      <w:pPr>
        <w:ind w:firstLine="737"/>
        <w:jc w:val="center"/>
        <w:rPr>
          <w:b/>
          <w:color w:val="000000"/>
        </w:rPr>
      </w:pPr>
      <w:r>
        <w:rPr>
          <w:b/>
          <w:color w:val="000000"/>
        </w:rPr>
        <w:t xml:space="preserve">Лекция </w:t>
      </w:r>
      <w:r w:rsidR="00586771">
        <w:rPr>
          <w:b/>
          <w:color w:val="000000"/>
        </w:rPr>
        <w:t>8</w:t>
      </w:r>
      <w:r w:rsidRPr="00E105F1">
        <w:rPr>
          <w:b/>
          <w:color w:val="000000"/>
        </w:rPr>
        <w:t>.</w:t>
      </w:r>
    </w:p>
    <w:p w14:paraId="3E7B2696" w14:textId="77777777" w:rsidR="00586771" w:rsidRDefault="00586771" w:rsidP="00586771">
      <w:pPr>
        <w:ind w:firstLine="737"/>
        <w:jc w:val="center"/>
        <w:rPr>
          <w:b/>
          <w:color w:val="000000"/>
        </w:rPr>
      </w:pPr>
    </w:p>
    <w:p w14:paraId="28B65775" w14:textId="4451577F" w:rsidR="00B077FE" w:rsidRDefault="00B077FE" w:rsidP="00586771">
      <w:pPr>
        <w:ind w:firstLine="737"/>
        <w:jc w:val="center"/>
        <w:rPr>
          <w:bCs/>
        </w:rPr>
      </w:pPr>
      <w:r w:rsidRPr="00F42B33">
        <w:rPr>
          <w:b/>
          <w:iCs/>
        </w:rPr>
        <w:t>Статистический анализ:</w:t>
      </w:r>
      <w:r w:rsidRPr="00FB451F">
        <w:rPr>
          <w:bCs/>
          <w:i/>
        </w:rPr>
        <w:t xml:space="preserve"> числовые характеристики. Нормальное распределение. Центральная предельная теорема.</w:t>
      </w:r>
    </w:p>
    <w:p w14:paraId="7645EE34" w14:textId="77777777" w:rsidR="00B077FE" w:rsidRDefault="00B077FE" w:rsidP="00B077FE">
      <w:pPr>
        <w:ind w:firstLine="737"/>
        <w:jc w:val="both"/>
        <w:rPr>
          <w:bCs/>
        </w:rPr>
      </w:pPr>
    </w:p>
    <w:p w14:paraId="73D044C3" w14:textId="77777777" w:rsidR="00B077FE" w:rsidRDefault="00B077FE" w:rsidP="00B077FE">
      <w:pPr>
        <w:ind w:firstLine="737"/>
        <w:jc w:val="both"/>
        <w:rPr>
          <w:color w:val="000000"/>
        </w:rPr>
      </w:pPr>
      <w:r>
        <w:rPr>
          <w:color w:val="000000"/>
        </w:rPr>
        <w:t xml:space="preserve">Числовые характеристики: математическое ожидание и дисперсия. Свойства. Случайная величина. Нормальное распределение. Закон больших чисел: неравенство Чебышева, теорема Чебышева, теорема Бернулли. Центральная предельная теорема. </w:t>
      </w:r>
    </w:p>
    <w:p w14:paraId="17EAE10E" w14:textId="77777777" w:rsidR="00B077FE" w:rsidRDefault="00B077FE" w:rsidP="00B077FE">
      <w:pPr>
        <w:ind w:firstLine="737"/>
        <w:jc w:val="both"/>
        <w:rPr>
          <w:color w:val="000000"/>
        </w:rPr>
      </w:pPr>
      <w:r>
        <w:rPr>
          <w:color w:val="000000"/>
        </w:rPr>
        <w:t>Расчет текущей стоимости будущих страховых выплат по проданным полисам. Убыток на момент выдачи полиса.</w:t>
      </w:r>
    </w:p>
    <w:p w14:paraId="28C8A570" w14:textId="77777777" w:rsidR="00B077FE" w:rsidRPr="00306179" w:rsidRDefault="00B077FE" w:rsidP="00B077FE">
      <w:pPr>
        <w:tabs>
          <w:tab w:val="left" w:pos="10080"/>
        </w:tabs>
        <w:ind w:right="142" w:firstLine="709"/>
        <w:jc w:val="both"/>
      </w:pPr>
      <w:r w:rsidRPr="005D16D9">
        <w:t xml:space="preserve">Оценка параметров по выборке из нормальной совокупности. </w:t>
      </w:r>
      <w:r w:rsidRPr="005D16D9">
        <w:rPr>
          <w:lang w:val="kk-KZ"/>
        </w:rPr>
        <w:t xml:space="preserve">Говоря о выборке </w:t>
      </w:r>
      <w:r w:rsidRPr="005D16D9">
        <w:rPr>
          <w:lang w:val="en-US"/>
        </w:rPr>
        <w:t>x</w:t>
      </w:r>
      <w:r w:rsidRPr="005D16D9">
        <w:rPr>
          <w:vertAlign w:val="subscript"/>
        </w:rPr>
        <w:t>1</w:t>
      </w:r>
      <w:r w:rsidRPr="005D16D9">
        <w:t>,…,</w:t>
      </w:r>
      <w:r w:rsidRPr="005D16D9">
        <w:rPr>
          <w:lang w:val="en-US"/>
        </w:rPr>
        <w:t>x</w:t>
      </w:r>
      <w:r w:rsidRPr="005D16D9">
        <w:rPr>
          <w:vertAlign w:val="subscript"/>
        </w:rPr>
        <w:t xml:space="preserve"> </w:t>
      </w:r>
      <w:r w:rsidRPr="005D16D9">
        <w:rPr>
          <w:vertAlign w:val="subscript"/>
          <w:lang w:val="en-US"/>
        </w:rPr>
        <w:t>n</w:t>
      </w:r>
      <w:r w:rsidRPr="005D16D9">
        <w:t xml:space="preserve"> </w:t>
      </w:r>
      <w:r w:rsidRPr="005D16D9">
        <w:rPr>
          <w:lang w:val="kk-KZ"/>
        </w:rPr>
        <w:t xml:space="preserve">объема </w:t>
      </w:r>
      <w:r w:rsidRPr="005D16D9">
        <w:rPr>
          <w:lang w:val="en-US"/>
        </w:rPr>
        <w:t>n</w:t>
      </w:r>
      <w:r w:rsidRPr="005D16D9">
        <w:t xml:space="preserve">,в математической статике имеют в виду, что это есть значение определенных случайных величин </w:t>
      </w:r>
      <w:r w:rsidRPr="005D16D9">
        <w:rPr>
          <w:position w:val="-12"/>
        </w:rPr>
        <w:object w:dxaOrig="840" w:dyaOrig="360" w14:anchorId="65CEF4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21.6pt" o:ole="" fillcolor="window">
            <v:imagedata r:id="rId4" o:title=""/>
          </v:shape>
          <o:OLEObject Type="Embed" ProgID="Equation.3" ShapeID="_x0000_i1025" DrawAspect="Content" ObjectID="_1729341393" r:id="rId5"/>
        </w:object>
      </w:r>
      <w:r w:rsidRPr="005D16D9">
        <w:t xml:space="preserve"> (  например , независимых одинаково распределенных величин, являющихся «копией»  случайной величины </w:t>
      </w:r>
      <w:r w:rsidRPr="005D16D9">
        <w:rPr>
          <w:position w:val="-10"/>
        </w:rPr>
        <w:object w:dxaOrig="620" w:dyaOrig="340" w14:anchorId="4F9069A7">
          <v:shape id="_x0000_i1026" type="#_x0000_t75" style="width:40.2pt;height:19.2pt" o:ole="" fillcolor="window">
            <v:imagedata r:id="rId6" o:title=""/>
          </v:shape>
          <o:OLEObject Type="Embed" ProgID="Equation.3" ShapeID="_x0000_i1026" DrawAspect="Content" ObjectID="_1729341394" r:id="rId7"/>
        </w:object>
      </w:r>
      <w:r w:rsidRPr="005D16D9">
        <w:t>).Одной из распространенных задач является оценка</w:t>
      </w:r>
      <w:r w:rsidRPr="00306179">
        <w:t xml:space="preserve"> параметров распределения вероятностей величин  </w:t>
      </w:r>
      <w:r w:rsidRPr="00306179">
        <w:rPr>
          <w:position w:val="-12"/>
        </w:rPr>
        <w:object w:dxaOrig="760" w:dyaOrig="360" w14:anchorId="723207D4">
          <v:shape id="_x0000_i1027" type="#_x0000_t75" style="width:63pt;height:25.2pt" o:ole="" fillcolor="window">
            <v:imagedata r:id="rId8" o:title=""/>
          </v:shape>
          <o:OLEObject Type="Embed" ProgID="Equation.3" ShapeID="_x0000_i1027" DrawAspect="Content" ObjectID="_1729341395" r:id="rId9"/>
        </w:object>
      </w:r>
      <w:r w:rsidRPr="00306179">
        <w:t xml:space="preserve">  по имеющимся  данным  </w:t>
      </w:r>
      <w:r w:rsidRPr="00306179">
        <w:rPr>
          <w:lang w:val="en-US"/>
        </w:rPr>
        <w:t>x</w:t>
      </w:r>
      <w:r w:rsidRPr="00306179">
        <w:rPr>
          <w:vertAlign w:val="subscript"/>
        </w:rPr>
        <w:t>1</w:t>
      </w:r>
      <w:r w:rsidRPr="00306179">
        <w:t>,…,</w:t>
      </w:r>
      <w:r w:rsidRPr="00306179">
        <w:rPr>
          <w:lang w:val="en-US"/>
        </w:rPr>
        <w:t>x</w:t>
      </w:r>
      <w:r w:rsidRPr="00306179">
        <w:rPr>
          <w:vertAlign w:val="subscript"/>
        </w:rPr>
        <w:t>n .</w:t>
      </w:r>
    </w:p>
    <w:p w14:paraId="347F7AE0" w14:textId="77777777" w:rsidR="00B077FE" w:rsidRPr="00306179" w:rsidRDefault="00B077FE" w:rsidP="00B077FE">
      <w:pPr>
        <w:tabs>
          <w:tab w:val="left" w:pos="10080"/>
        </w:tabs>
        <w:ind w:right="142"/>
        <w:jc w:val="both"/>
      </w:pPr>
      <w:r w:rsidRPr="00306179">
        <w:t xml:space="preserve">        Пусть </w:t>
      </w:r>
      <w:r w:rsidRPr="00306179">
        <w:rPr>
          <w:position w:val="-10"/>
        </w:rPr>
        <w:object w:dxaOrig="620" w:dyaOrig="340" w14:anchorId="046339E5">
          <v:shape id="_x0000_i1028" type="#_x0000_t75" style="width:49.8pt;height:26.4pt" o:ole="" fillcolor="window">
            <v:imagedata r:id="rId10" o:title=""/>
          </v:shape>
          <o:OLEObject Type="Embed" ProgID="Equation.3" ShapeID="_x0000_i1028" DrawAspect="Content" ObjectID="_1729341396" r:id="rId11"/>
        </w:object>
      </w:r>
      <w:r w:rsidRPr="00306179">
        <w:t xml:space="preserve">  есть нормально </w:t>
      </w:r>
      <w:proofErr w:type="gramStart"/>
      <w:r w:rsidRPr="00306179">
        <w:t xml:space="preserve">распределенная  </w:t>
      </w:r>
      <w:proofErr w:type="spellStart"/>
      <w:r w:rsidRPr="00306179">
        <w:t>величена</w:t>
      </w:r>
      <w:proofErr w:type="spellEnd"/>
      <w:proofErr w:type="gramEnd"/>
      <w:r w:rsidRPr="00306179">
        <w:t xml:space="preserve"> с параметрами  </w:t>
      </w:r>
      <w:r w:rsidRPr="00306179">
        <w:rPr>
          <w:position w:val="-10"/>
        </w:rPr>
        <w:object w:dxaOrig="1760" w:dyaOrig="360" w14:anchorId="6DB0ACA1">
          <v:shape id="_x0000_i1029" type="#_x0000_t75" style="width:103.8pt;height:26.4pt" o:ole="" fillcolor="window">
            <v:imagedata r:id="rId12" o:title=""/>
          </v:shape>
          <o:OLEObject Type="Embed" ProgID="Equation.3" ShapeID="_x0000_i1029" DrawAspect="Content" ObjectID="_1729341397" r:id="rId13"/>
        </w:object>
      </w:r>
      <w:r w:rsidRPr="00306179">
        <w:t xml:space="preserve"> . Как по выборке х</w:t>
      </w:r>
      <w:proofErr w:type="gramStart"/>
      <w:r w:rsidRPr="00306179">
        <w:rPr>
          <w:vertAlign w:val="subscript"/>
        </w:rPr>
        <w:t>1</w:t>
      </w:r>
      <w:r w:rsidRPr="00306179">
        <w:t>,…</w:t>
      </w:r>
      <w:proofErr w:type="gramEnd"/>
      <w:r w:rsidRPr="00306179">
        <w:t>,</w:t>
      </w:r>
      <w:proofErr w:type="spellStart"/>
      <w:r w:rsidRPr="00306179">
        <w:t>х</w:t>
      </w:r>
      <w:r w:rsidRPr="00306179">
        <w:rPr>
          <w:vertAlign w:val="subscript"/>
        </w:rPr>
        <w:t>п</w:t>
      </w:r>
      <w:proofErr w:type="spellEnd"/>
      <w:r w:rsidRPr="00306179">
        <w:t xml:space="preserve"> из независимых </w:t>
      </w:r>
      <w:r w:rsidRPr="00306179">
        <w:rPr>
          <w:position w:val="-12"/>
        </w:rPr>
        <w:object w:dxaOrig="760" w:dyaOrig="360" w14:anchorId="2DDB7D4C">
          <v:shape id="_x0000_i1030" type="#_x0000_t75" style="width:63pt;height:26.4pt" o:ole="" fillcolor="window">
            <v:imagedata r:id="rId14" o:title=""/>
          </v:shape>
          <o:OLEObject Type="Embed" ProgID="Equation.3" ShapeID="_x0000_i1030" DrawAspect="Content" ObjectID="_1729341398" r:id="rId15"/>
        </w:object>
      </w:r>
      <w:r w:rsidRPr="00306179">
        <w:t xml:space="preserve">  с таким распределением оценить </w:t>
      </w:r>
      <w:r w:rsidRPr="00306179">
        <w:rPr>
          <w:position w:val="-6"/>
        </w:rPr>
        <w:object w:dxaOrig="200" w:dyaOrig="220" w14:anchorId="58629A29">
          <v:shape id="_x0000_i1031" type="#_x0000_t75" style="width:13.2pt;height:20.4pt" o:ole="" fillcolor="window">
            <v:imagedata r:id="rId16" o:title=""/>
          </v:shape>
          <o:OLEObject Type="Embed" ProgID="Equation.3" ShapeID="_x0000_i1031" DrawAspect="Content" ObjectID="_1729341399" r:id="rId17"/>
        </w:object>
      </w:r>
      <w:r w:rsidRPr="00306179">
        <w:t xml:space="preserve"> и </w:t>
      </w:r>
      <w:r w:rsidRPr="00306179">
        <w:rPr>
          <w:position w:val="-6"/>
        </w:rPr>
        <w:object w:dxaOrig="340" w:dyaOrig="320" w14:anchorId="59C0F0A8">
          <v:shape id="_x0000_i1032" type="#_x0000_t75" style="width:21pt;height:29.4pt" o:ole="" fillcolor="window">
            <v:imagedata r:id="rId18" o:title=""/>
          </v:shape>
          <o:OLEObject Type="Embed" ProgID="Equation.3" ShapeID="_x0000_i1032" DrawAspect="Content" ObjectID="_1729341400" r:id="rId19"/>
        </w:object>
      </w:r>
      <w:r w:rsidRPr="00306179">
        <w:t xml:space="preserve">. Мы </w:t>
      </w:r>
      <w:proofErr w:type="gramStart"/>
      <w:r w:rsidRPr="00306179">
        <w:t>знаем ,что</w:t>
      </w:r>
      <w:proofErr w:type="gramEnd"/>
      <w:r w:rsidRPr="00306179">
        <w:t xml:space="preserve"> наилучшей несмещенной оценкой для параметра а является выборочное среднее          </w:t>
      </w:r>
    </w:p>
    <w:p w14:paraId="1999BE44" w14:textId="77777777" w:rsidR="00B077FE" w:rsidRPr="00306179" w:rsidRDefault="00B077FE" w:rsidP="00B077FE">
      <w:pPr>
        <w:tabs>
          <w:tab w:val="left" w:pos="10080"/>
        </w:tabs>
        <w:ind w:right="142"/>
        <w:jc w:val="center"/>
      </w:pPr>
      <w:r w:rsidRPr="00306179">
        <w:rPr>
          <w:position w:val="-28"/>
        </w:rPr>
        <w:object w:dxaOrig="1140" w:dyaOrig="680" w14:anchorId="59DD4E19">
          <v:shape id="_x0000_i1033" type="#_x0000_t75" style="width:89.4pt;height:42pt" o:ole="" fillcolor="window">
            <v:imagedata r:id="rId20" o:title=""/>
          </v:shape>
          <o:OLEObject Type="Embed" ProgID="Equation.3" ShapeID="_x0000_i1033" DrawAspect="Content" ObjectID="_1729341401" r:id="rId21"/>
        </w:object>
      </w:r>
      <w:r w:rsidRPr="00306179">
        <w:rPr>
          <w:position w:val="-10"/>
        </w:rPr>
        <w:object w:dxaOrig="180" w:dyaOrig="340" w14:anchorId="1A09F298">
          <v:shape id="_x0000_i1034" type="#_x0000_t75" style="width:26.4pt;height:32.4pt" o:ole="" fillcolor="window">
            <v:imagedata r:id="rId22" o:title=""/>
          </v:shape>
          <o:OLEObject Type="Embed" ProgID="Equation.3" ShapeID="_x0000_i1034" DrawAspect="Content" ObjectID="_1729341402" r:id="rId23"/>
        </w:object>
      </w:r>
    </w:p>
    <w:p w14:paraId="3A24F6D8" w14:textId="77777777" w:rsidR="00B077FE" w:rsidRPr="00306179" w:rsidRDefault="00B077FE" w:rsidP="00B077FE">
      <w:pPr>
        <w:tabs>
          <w:tab w:val="left" w:pos="10080"/>
        </w:tabs>
        <w:ind w:right="142"/>
        <w:jc w:val="both"/>
      </w:pPr>
      <w:r w:rsidRPr="00306179">
        <w:t xml:space="preserve">Среднеквадратическая ошибка в этой оценке будет </w:t>
      </w:r>
      <w:r w:rsidRPr="00306179">
        <w:rPr>
          <w:position w:val="-12"/>
        </w:rPr>
        <w:object w:dxaOrig="2160" w:dyaOrig="420" w14:anchorId="0AAC7F13">
          <v:shape id="_x0000_i1035" type="#_x0000_t75" style="width:133.2pt;height:28.2pt" o:ole="" fillcolor="window">
            <v:imagedata r:id="rId24" o:title=""/>
          </v:shape>
          <o:OLEObject Type="Embed" ProgID="Equation.3" ShapeID="_x0000_i1035" DrawAspect="Content" ObjectID="_1729341403" r:id="rId25"/>
        </w:object>
      </w:r>
      <w:r w:rsidRPr="00306179">
        <w:t xml:space="preserve"> Как </w:t>
      </w:r>
      <w:proofErr w:type="gramStart"/>
      <w:r w:rsidRPr="00306179">
        <w:t>узнать ,несколько</w:t>
      </w:r>
      <w:proofErr w:type="gramEnd"/>
      <w:r w:rsidRPr="00306179">
        <w:t xml:space="preserve"> она хороша при неизвестном </w:t>
      </w:r>
      <w:r w:rsidRPr="00306179">
        <w:rPr>
          <w:position w:val="-10"/>
        </w:rPr>
        <w:object w:dxaOrig="1800" w:dyaOrig="400" w14:anchorId="1693A4D1">
          <v:shape id="_x0000_i1036" type="#_x0000_t75" style="width:103.2pt;height:24.6pt" o:ole="" fillcolor="window">
            <v:imagedata r:id="rId26" o:title=""/>
          </v:shape>
          <o:OLEObject Type="Embed" ProgID="Equation.3" ShapeID="_x0000_i1036" DrawAspect="Content" ObjectID="_1729341404" r:id="rId27"/>
        </w:object>
      </w:r>
      <w:r w:rsidRPr="00306179">
        <w:t xml:space="preserve">  Возьмем в качестве оценки для </w:t>
      </w:r>
      <w:r w:rsidRPr="00306179">
        <w:rPr>
          <w:position w:val="-6"/>
        </w:rPr>
        <w:object w:dxaOrig="320" w:dyaOrig="320" w14:anchorId="3926A025">
          <v:shape id="_x0000_i1037" type="#_x0000_t75" style="width:25.2pt;height:23.4pt" o:ole="" fillcolor="window">
            <v:imagedata r:id="rId28" o:title=""/>
          </v:shape>
          <o:OLEObject Type="Embed" ProgID="Equation.3" ShapeID="_x0000_i1037" DrawAspect="Content" ObjectID="_1729341405" r:id="rId29"/>
        </w:object>
      </w:r>
      <w:r w:rsidRPr="00306179">
        <w:t xml:space="preserve">  величину </w:t>
      </w:r>
    </w:p>
    <w:p w14:paraId="371E8287" w14:textId="77777777" w:rsidR="00B077FE" w:rsidRPr="00306179" w:rsidRDefault="00B077FE" w:rsidP="00B077FE">
      <w:pPr>
        <w:tabs>
          <w:tab w:val="left" w:pos="10080"/>
        </w:tabs>
        <w:ind w:right="142"/>
        <w:jc w:val="center"/>
      </w:pPr>
      <w:r w:rsidRPr="00306179">
        <w:rPr>
          <w:position w:val="-28"/>
        </w:rPr>
        <w:object w:dxaOrig="2240" w:dyaOrig="680" w14:anchorId="19DA8A74">
          <v:shape id="_x0000_i1038" type="#_x0000_t75" style="width:198pt;height:55.8pt" o:ole="" fillcolor="window">
            <v:imagedata r:id="rId30" o:title=""/>
          </v:shape>
          <o:OLEObject Type="Embed" ProgID="Equation.3" ShapeID="_x0000_i1038" DrawAspect="Content" ObjectID="_1729341406" r:id="rId31"/>
        </w:object>
      </w:r>
    </w:p>
    <w:p w14:paraId="28824884" w14:textId="77777777" w:rsidR="00B077FE" w:rsidRPr="00306179" w:rsidRDefault="00B077FE" w:rsidP="00B077FE">
      <w:pPr>
        <w:tabs>
          <w:tab w:val="left" w:pos="10080"/>
        </w:tabs>
        <w:ind w:right="142"/>
      </w:pPr>
      <w:r w:rsidRPr="00306179">
        <w:t xml:space="preserve">   Она является несмещенной: </w:t>
      </w:r>
      <w:r w:rsidRPr="00306179">
        <w:rPr>
          <w:position w:val="-6"/>
        </w:rPr>
        <w:object w:dxaOrig="1080" w:dyaOrig="320" w14:anchorId="6FFE43E7">
          <v:shape id="_x0000_i1039" type="#_x0000_t75" style="width:54pt;height:16.2pt" o:ole="" fillcolor="window">
            <v:imagedata r:id="rId32" o:title=""/>
          </v:shape>
          <o:OLEObject Type="Embed" ProgID="Equation.3" ShapeID="_x0000_i1039" DrawAspect="Content" ObjectID="_1729341407" r:id="rId33"/>
        </w:object>
      </w:r>
      <w:r w:rsidRPr="00306179">
        <w:t xml:space="preserve">      при всех  </w:t>
      </w:r>
      <w:r w:rsidRPr="00306179">
        <w:rPr>
          <w:position w:val="-10"/>
        </w:rPr>
        <w:object w:dxaOrig="1660" w:dyaOrig="400" w14:anchorId="087FE4DD">
          <v:shape id="_x0000_i1040" type="#_x0000_t75" style="width:95.4pt;height:24.6pt" o:ole="" fillcolor="window">
            <v:imagedata r:id="rId34" o:title=""/>
          </v:shape>
          <o:OLEObject Type="Embed" ProgID="Equation.3" ShapeID="_x0000_i1040" DrawAspect="Content" ObjectID="_1729341408" r:id="rId35"/>
        </w:object>
      </w:r>
      <w:r w:rsidRPr="00306179">
        <w:t xml:space="preserve">,       что легко </w:t>
      </w:r>
      <w:proofErr w:type="gramStart"/>
      <w:r w:rsidRPr="00306179">
        <w:t>проверить ,</w:t>
      </w:r>
      <w:proofErr w:type="gramEnd"/>
      <w:r w:rsidRPr="00306179">
        <w:t xml:space="preserve"> обратившись к равенству </w:t>
      </w:r>
    </w:p>
    <w:p w14:paraId="2924B0C5" w14:textId="77777777" w:rsidR="00B077FE" w:rsidRPr="00306179" w:rsidRDefault="00B077FE" w:rsidP="00B077FE">
      <w:pPr>
        <w:tabs>
          <w:tab w:val="left" w:pos="10080"/>
        </w:tabs>
        <w:ind w:right="142"/>
        <w:jc w:val="center"/>
      </w:pPr>
      <w:r w:rsidRPr="00306179">
        <w:rPr>
          <w:position w:val="-28"/>
        </w:rPr>
        <w:object w:dxaOrig="3220" w:dyaOrig="680" w14:anchorId="2D7BB426">
          <v:shape id="_x0000_i1041" type="#_x0000_t75" style="width:234pt;height:46.2pt" o:ole="" fillcolor="window">
            <v:imagedata r:id="rId36" o:title=""/>
          </v:shape>
          <o:OLEObject Type="Embed" ProgID="Equation.3" ShapeID="_x0000_i1041" DrawAspect="Content" ObjectID="_1729341409" r:id="rId37"/>
        </w:object>
      </w:r>
      <w:r w:rsidRPr="00306179">
        <w:t>.</w:t>
      </w:r>
    </w:p>
    <w:p w14:paraId="7F9E2D9C" w14:textId="77777777" w:rsidR="00B077FE" w:rsidRPr="00306179" w:rsidRDefault="00B077FE" w:rsidP="00B077FE">
      <w:pPr>
        <w:tabs>
          <w:tab w:val="left" w:pos="10080"/>
        </w:tabs>
        <w:ind w:right="142"/>
        <w:jc w:val="both"/>
      </w:pPr>
      <w:r w:rsidRPr="00306179">
        <w:t xml:space="preserve">Образуем отношение </w:t>
      </w:r>
      <w:r w:rsidRPr="00306179">
        <w:rPr>
          <w:position w:val="-30"/>
        </w:rPr>
        <w:object w:dxaOrig="1680" w:dyaOrig="800" w14:anchorId="7DBAE2AD">
          <v:shape id="_x0000_i1042" type="#_x0000_t75" style="width:85.2pt;height:39pt" o:ole="" fillcolor="window">
            <v:imagedata r:id="rId38" o:title=""/>
          </v:shape>
          <o:OLEObject Type="Embed" ProgID="Equation.3" ShapeID="_x0000_i1042" DrawAspect="Content" ObjectID="_1729341410" r:id="rId39"/>
        </w:object>
      </w:r>
      <w:r w:rsidRPr="00306179">
        <w:t xml:space="preserve"> Очевидно ,распределение величины </w:t>
      </w:r>
      <w:r w:rsidRPr="00306179">
        <w:rPr>
          <w:position w:val="-6"/>
        </w:rPr>
        <w:object w:dxaOrig="200" w:dyaOrig="220" w14:anchorId="059714FE">
          <v:shape id="_x0000_i1043" type="#_x0000_t75" style="width:8.4pt;height:12.6pt" o:ole="" fillcolor="window">
            <v:imagedata r:id="rId40" o:title=""/>
          </v:shape>
          <o:OLEObject Type="Embed" ProgID="Equation.3" ShapeID="_x0000_i1043" DrawAspect="Content" ObjectID="_1729341411" r:id="rId41"/>
        </w:object>
      </w:r>
      <w:r w:rsidRPr="00306179">
        <w:t xml:space="preserve"> не зависит от параметров </w:t>
      </w:r>
      <w:r w:rsidRPr="00306179">
        <w:rPr>
          <w:position w:val="-6"/>
        </w:rPr>
        <w:object w:dxaOrig="200" w:dyaOrig="220" w14:anchorId="100CF76B">
          <v:shape id="_x0000_i1044" type="#_x0000_t75" style="width:14.4pt;height:15pt" o:ole="" fillcolor="window">
            <v:imagedata r:id="rId16" o:title=""/>
          </v:shape>
          <o:OLEObject Type="Embed" ProgID="Equation.3" ShapeID="_x0000_i1044" DrawAspect="Content" ObjectID="_1729341412" r:id="rId42"/>
        </w:object>
      </w:r>
      <w:r w:rsidRPr="00306179">
        <w:t xml:space="preserve">   и </w:t>
      </w:r>
      <w:r w:rsidRPr="00306179">
        <w:rPr>
          <w:position w:val="-6"/>
        </w:rPr>
        <w:object w:dxaOrig="240" w:dyaOrig="220" w14:anchorId="5C7C7E9D">
          <v:shape id="_x0000_i1045" type="#_x0000_t75" style="width:14.4pt;height:16.8pt" o:ole="" fillcolor="window">
            <v:imagedata r:id="rId43" o:title=""/>
          </v:shape>
          <o:OLEObject Type="Embed" ProgID="Equation.3" ShapeID="_x0000_i1045" DrawAspect="Content" ObjectID="_1729341413" r:id="rId44"/>
        </w:object>
      </w:r>
      <w:r w:rsidRPr="00306179">
        <w:t xml:space="preserve">, поскольку она инвариантна  относительно преобразования вида </w:t>
      </w:r>
      <w:r w:rsidRPr="00306179">
        <w:rPr>
          <w:position w:val="-24"/>
        </w:rPr>
        <w:object w:dxaOrig="2580" w:dyaOrig="620" w14:anchorId="2F123676">
          <v:shape id="_x0000_i1046" type="#_x0000_t75" style="width:180pt;height:40.2pt" o:ole="" fillcolor="window">
            <v:imagedata r:id="rId45" o:title=""/>
          </v:shape>
          <o:OLEObject Type="Embed" ProgID="Equation.3" ShapeID="_x0000_i1046" DrawAspect="Content" ObjectID="_1729341414" r:id="rId46"/>
        </w:object>
      </w:r>
      <w:r w:rsidRPr="00306179">
        <w:t xml:space="preserve"> При дальнейшем рассмотрении </w:t>
      </w:r>
      <w:r w:rsidRPr="00306179">
        <w:rPr>
          <w:position w:val="-6"/>
        </w:rPr>
        <w:object w:dxaOrig="200" w:dyaOrig="220" w14:anchorId="68C01625">
          <v:shape id="_x0000_i1047" type="#_x0000_t75" style="width:15pt;height:16.2pt" o:ole="" fillcolor="window">
            <v:imagedata r:id="rId47" o:title=""/>
          </v:shape>
          <o:OLEObject Type="Embed" ProgID="Equation.3" ShapeID="_x0000_i1047" DrawAspect="Content" ObjectID="_1729341415" r:id="rId48"/>
        </w:object>
      </w:r>
      <w:r w:rsidRPr="00306179">
        <w:t xml:space="preserve">  будем считать </w:t>
      </w:r>
      <w:r w:rsidRPr="00306179">
        <w:rPr>
          <w:position w:val="-10"/>
        </w:rPr>
        <w:object w:dxaOrig="1280" w:dyaOrig="360" w14:anchorId="2C1E7C02">
          <v:shape id="_x0000_i1048" type="#_x0000_t75" style="width:91.2pt;height:27.6pt" o:ole="" fillcolor="window">
            <v:imagedata r:id="rId49" o:title=""/>
          </v:shape>
          <o:OLEObject Type="Embed" ProgID="Equation.3" ShapeID="_x0000_i1048" DrawAspect="Content" ObjectID="_1729341416" r:id="rId50"/>
        </w:object>
      </w:r>
    </w:p>
    <w:p w14:paraId="7248B4C7" w14:textId="77777777" w:rsidR="00B077FE" w:rsidRPr="00306179" w:rsidRDefault="00B077FE" w:rsidP="00B077FE">
      <w:pPr>
        <w:tabs>
          <w:tab w:val="left" w:pos="10080"/>
        </w:tabs>
        <w:ind w:right="142"/>
        <w:jc w:val="both"/>
      </w:pPr>
      <w:r w:rsidRPr="00306179">
        <w:lastRenderedPageBreak/>
        <w:t xml:space="preserve">Линейное ортогональное преобразование              </w:t>
      </w:r>
      <w:r w:rsidRPr="00306179">
        <w:rPr>
          <w:position w:val="-28"/>
          <w:lang w:val="en-US"/>
        </w:rPr>
        <w:object w:dxaOrig="2340" w:dyaOrig="680" w14:anchorId="28882827">
          <v:shape id="_x0000_i1049" type="#_x0000_t75" style="width:177.6pt;height:36.6pt" o:ole="" fillcolor="window">
            <v:imagedata r:id="rId51" o:title=""/>
          </v:shape>
          <o:OLEObject Type="Embed" ProgID="Equation.3" ShapeID="_x0000_i1049" DrawAspect="Content" ObjectID="_1729341417" r:id="rId52"/>
        </w:object>
      </w:r>
      <w:r w:rsidRPr="00306179">
        <w:t xml:space="preserve">   </w:t>
      </w:r>
      <w:r w:rsidRPr="00306179">
        <w:rPr>
          <w:lang w:val="en-US"/>
        </w:rPr>
        <w:t>c</w:t>
      </w:r>
      <w:r w:rsidRPr="00306179">
        <w:t xml:space="preserve"> </w:t>
      </w:r>
      <w:r w:rsidRPr="00306179">
        <w:rPr>
          <w:position w:val="-28"/>
        </w:rPr>
        <w:object w:dxaOrig="1400" w:dyaOrig="680" w14:anchorId="0A792854">
          <v:shape id="_x0000_i1050" type="#_x0000_t75" style="width:108.6pt;height:42pt" o:ole="" fillcolor="window">
            <v:imagedata r:id="rId53" o:title=""/>
          </v:shape>
          <o:OLEObject Type="Embed" ProgID="Equation.3" ShapeID="_x0000_i1050" DrawAspect="Content" ObjectID="_1729341418" r:id="rId54"/>
        </w:object>
      </w:r>
      <w:r w:rsidRPr="00306179">
        <w:t xml:space="preserve">дает нам  такие же, как </w:t>
      </w:r>
      <w:r w:rsidRPr="00306179">
        <w:rPr>
          <w:position w:val="-12"/>
        </w:rPr>
        <w:object w:dxaOrig="840" w:dyaOrig="360" w14:anchorId="650CCEEB">
          <v:shape id="_x0000_i1051" type="#_x0000_t75" style="width:54.6pt;height:19.2pt" o:ole="" fillcolor="window">
            <v:imagedata r:id="rId55" o:title=""/>
          </v:shape>
          <o:OLEObject Type="Embed" ProgID="Equation.3" ShapeID="_x0000_i1051" DrawAspect="Content" ObjectID="_1729341419" r:id="rId56"/>
        </w:object>
      </w:r>
      <w:r w:rsidRPr="00306179">
        <w:t xml:space="preserve">независимые нормально распределенные величины </w:t>
      </w:r>
      <w:r w:rsidRPr="00306179">
        <w:rPr>
          <w:position w:val="-12"/>
        </w:rPr>
        <w:object w:dxaOrig="940" w:dyaOrig="360" w14:anchorId="376AF440">
          <v:shape id="_x0000_i1052" type="#_x0000_t75" style="width:61.8pt;height:21pt" o:ole="" fillcolor="window">
            <v:imagedata r:id="rId57" o:title=""/>
          </v:shape>
          <o:OLEObject Type="Embed" ProgID="Equation.3" ShapeID="_x0000_i1052" DrawAspect="Content" ObjectID="_1729341420" r:id="rId58"/>
        </w:object>
      </w:r>
      <w:r w:rsidRPr="00306179">
        <w:t xml:space="preserve"> с нулевым распределением и равной 1 дисперсией; при этом </w:t>
      </w:r>
    </w:p>
    <w:p w14:paraId="6A4C20EA" w14:textId="77777777" w:rsidR="00B077FE" w:rsidRPr="00306179" w:rsidRDefault="00B077FE" w:rsidP="00B077FE">
      <w:pPr>
        <w:tabs>
          <w:tab w:val="left" w:pos="10080"/>
        </w:tabs>
        <w:ind w:right="142"/>
        <w:jc w:val="center"/>
      </w:pPr>
      <w:r w:rsidRPr="00306179">
        <w:rPr>
          <w:position w:val="-28"/>
        </w:rPr>
        <w:object w:dxaOrig="1359" w:dyaOrig="680" w14:anchorId="1D28FDCA">
          <v:shape id="_x0000_i1053" type="#_x0000_t75" style="width:105.6pt;height:52.8pt" o:ole="" fillcolor="window">
            <v:imagedata r:id="rId59" o:title=""/>
          </v:shape>
          <o:OLEObject Type="Embed" ProgID="Equation.3" ShapeID="_x0000_i1053" DrawAspect="Content" ObjectID="_1729341421" r:id="rId60"/>
        </w:object>
      </w:r>
      <w:r w:rsidRPr="00306179">
        <w:t xml:space="preserve">         и</w:t>
      </w:r>
    </w:p>
    <w:p w14:paraId="05979D22" w14:textId="77777777" w:rsidR="00B077FE" w:rsidRPr="00306179" w:rsidRDefault="00B077FE" w:rsidP="00B077FE">
      <w:pPr>
        <w:tabs>
          <w:tab w:val="left" w:pos="10080"/>
        </w:tabs>
        <w:ind w:right="142"/>
        <w:jc w:val="center"/>
      </w:pPr>
      <w:r w:rsidRPr="00306179">
        <w:rPr>
          <w:position w:val="-28"/>
        </w:rPr>
        <w:object w:dxaOrig="5340" w:dyaOrig="680" w14:anchorId="489CED3F">
          <v:shape id="_x0000_i1054" type="#_x0000_t75" style="width:414pt;height:52.8pt" o:ole="" fillcolor="window">
            <v:imagedata r:id="rId61" o:title=""/>
          </v:shape>
          <o:OLEObject Type="Embed" ProgID="Equation.3" ShapeID="_x0000_i1054" DrawAspect="Content" ObjectID="_1729341422" r:id="rId62"/>
        </w:object>
      </w:r>
      <w:r w:rsidRPr="00306179">
        <w:t>.</w:t>
      </w:r>
    </w:p>
    <w:p w14:paraId="2473D8F3" w14:textId="77777777" w:rsidR="00B077FE" w:rsidRPr="00306179" w:rsidRDefault="00B077FE" w:rsidP="00B077FE">
      <w:pPr>
        <w:tabs>
          <w:tab w:val="left" w:pos="10080"/>
        </w:tabs>
        <w:ind w:right="142"/>
        <w:jc w:val="both"/>
      </w:pPr>
      <w:r w:rsidRPr="00306179">
        <w:t xml:space="preserve">Таким образом, </w:t>
      </w:r>
      <w:r w:rsidRPr="00306179">
        <w:rPr>
          <w:position w:val="-10"/>
        </w:rPr>
        <w:object w:dxaOrig="1480" w:dyaOrig="380" w14:anchorId="474672F0">
          <v:shape id="_x0000_i1055" type="#_x0000_t75" style="width:73.8pt;height:19.2pt" o:ole="" fillcolor="window">
            <v:imagedata r:id="rId63" o:title=""/>
          </v:shape>
          <o:OLEObject Type="Embed" ProgID="Equation.3" ShapeID="_x0000_i1055" DrawAspect="Content" ObjectID="_1729341423" r:id="rId64"/>
        </w:object>
      </w:r>
      <w:r w:rsidRPr="00306179">
        <w:t xml:space="preserve">, </w:t>
      </w:r>
      <w:r w:rsidRPr="00306179">
        <w:sym w:font="Symbol" w:char="F068"/>
      </w:r>
      <w:r w:rsidRPr="00306179">
        <w:t>=</w:t>
      </w:r>
      <w:r w:rsidRPr="00306179">
        <w:sym w:font="Symbol" w:char="F068"/>
      </w:r>
      <w:r w:rsidRPr="00306179">
        <w:rPr>
          <w:vertAlign w:val="subscript"/>
        </w:rPr>
        <w:t>1</w:t>
      </w:r>
      <w:r w:rsidRPr="00306179">
        <w:t xml:space="preserve">, а величина </w:t>
      </w:r>
      <w:r w:rsidRPr="00306179">
        <w:rPr>
          <w:position w:val="-28"/>
        </w:rPr>
        <w:object w:dxaOrig="1219" w:dyaOrig="680" w14:anchorId="74B42DFC">
          <v:shape id="_x0000_i1056" type="#_x0000_t75" style="width:61.2pt;height:34.2pt" o:ole="" fillcolor="window">
            <v:imagedata r:id="rId65" o:title=""/>
          </v:shape>
          <o:OLEObject Type="Embed" ProgID="Equation.3" ShapeID="_x0000_i1056" DrawAspect="Content" ObjectID="_1729341424" r:id="rId66"/>
        </w:object>
      </w:r>
      <w:r w:rsidRPr="00306179">
        <w:t xml:space="preserve"> имеет известное нам распределение хи-квадрат с </w:t>
      </w:r>
      <w:r w:rsidRPr="00306179">
        <w:rPr>
          <w:lang w:val="en-US"/>
        </w:rPr>
        <w:t>n</w:t>
      </w:r>
      <w:r w:rsidRPr="00306179">
        <w:t xml:space="preserve">-1 степенями свободы, причем </w:t>
      </w:r>
      <w:r w:rsidRPr="00306179">
        <w:rPr>
          <w:position w:val="-10"/>
          <w:lang w:val="en-US"/>
        </w:rPr>
        <w:object w:dxaOrig="220" w:dyaOrig="279" w14:anchorId="3F5523B8">
          <v:shape id="_x0000_i1057" type="#_x0000_t75" style="width:10.8pt;height:13.8pt" o:ole="" fillcolor="window">
            <v:imagedata r:id="rId67" o:title=""/>
          </v:shape>
          <o:OLEObject Type="Embed" ProgID="Equation.DSMT4" ShapeID="_x0000_i1057" DrawAspect="Content" ObjectID="_1729341425" r:id="rId68"/>
        </w:object>
      </w:r>
      <w:r w:rsidRPr="00306179">
        <w:t xml:space="preserve"> и </w:t>
      </w:r>
      <w:r w:rsidRPr="00306179">
        <w:rPr>
          <w:position w:val="-10"/>
          <w:lang w:val="en-US"/>
        </w:rPr>
        <w:object w:dxaOrig="360" w:dyaOrig="400" w14:anchorId="40481765">
          <v:shape id="_x0000_i1058" type="#_x0000_t75" style="width:18pt;height:19.8pt" o:ole="" fillcolor="window">
            <v:imagedata r:id="rId69" o:title=""/>
          </v:shape>
          <o:OLEObject Type="Embed" ProgID="Equation.DSMT4" ShapeID="_x0000_i1058" DrawAspect="Content" ObjectID="_1729341426" r:id="rId70"/>
        </w:object>
      </w:r>
      <w:r w:rsidRPr="00306179">
        <w:t xml:space="preserve"> являются независимыми.</w:t>
      </w:r>
    </w:p>
    <w:p w14:paraId="13F56929" w14:textId="77777777" w:rsidR="00B077FE" w:rsidRDefault="00B077FE"/>
    <w:sectPr w:rsidR="00B0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FE"/>
    <w:rsid w:val="00586771"/>
    <w:rsid w:val="00B0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90A4"/>
  <w15:chartTrackingRefBased/>
  <w15:docId w15:val="{18274CF0-1A3B-44FB-98B8-9000D042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3.bin"/><Relationship Id="rId7" Type="http://schemas.openxmlformats.org/officeDocument/2006/relationships/oleObject" Target="embeddings/oleObject2.bin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3.wmf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2022-11-07T09:50:00Z</dcterms:created>
  <dcterms:modified xsi:type="dcterms:W3CDTF">2022-11-07T09:50:00Z</dcterms:modified>
</cp:coreProperties>
</file>