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2F168" w14:textId="77777777" w:rsidR="00336A3E" w:rsidRDefault="00336A3E" w:rsidP="00336A3E">
      <w:pPr>
        <w:pStyle w:val="2"/>
        <w:tabs>
          <w:tab w:val="num" w:pos="720"/>
        </w:tabs>
        <w:ind w:left="567" w:firstLine="567"/>
        <w:rPr>
          <w:sz w:val="28"/>
          <w:szCs w:val="28"/>
        </w:rPr>
      </w:pPr>
      <w:r>
        <w:rPr>
          <w:sz w:val="28"/>
          <w:szCs w:val="28"/>
        </w:rPr>
        <w:t>Conférence 5</w:t>
      </w:r>
    </w:p>
    <w:p w14:paraId="0CA3E459" w14:textId="77777777" w:rsidR="00336A3E" w:rsidRDefault="00336A3E" w:rsidP="00336A3E">
      <w:pPr>
        <w:pStyle w:val="2"/>
        <w:tabs>
          <w:tab w:val="num" w:pos="720"/>
        </w:tabs>
        <w:ind w:left="567" w:firstLine="567"/>
        <w:rPr>
          <w:sz w:val="28"/>
          <w:szCs w:val="28"/>
        </w:rPr>
      </w:pPr>
      <w:r>
        <w:rPr>
          <w:sz w:val="28"/>
          <w:szCs w:val="28"/>
        </w:rPr>
        <w:t>CADRE EUROPEEN COMMUN DE REFERENCE POUR LES LANGUES DANS LE CONTEXTE DU PLURILINGUISME AU KAZAKHSTAN</w:t>
      </w:r>
    </w:p>
    <w:p w14:paraId="067BDB57" w14:textId="77777777" w:rsidR="00336A3E" w:rsidRDefault="00336A3E" w:rsidP="00336A3E">
      <w:pPr>
        <w:pStyle w:val="2"/>
        <w:numPr>
          <w:ilvl w:val="0"/>
          <w:numId w:val="1"/>
        </w:numPr>
        <w:jc w:val="both"/>
        <w:rPr>
          <w:b w:val="0"/>
          <w:bCs w:val="0"/>
          <w:sz w:val="28"/>
          <w:szCs w:val="28"/>
        </w:rPr>
      </w:pPr>
      <w:r w:rsidRPr="005767EA">
        <w:rPr>
          <w:b w:val="0"/>
          <w:bCs w:val="0"/>
          <w:sz w:val="28"/>
          <w:szCs w:val="28"/>
        </w:rPr>
        <w:t>Le modèle adaptif du Cadre européen</w:t>
      </w:r>
    </w:p>
    <w:p w14:paraId="589A4423" w14:textId="77777777" w:rsidR="00336A3E" w:rsidRPr="005767EA" w:rsidRDefault="00336A3E" w:rsidP="00336A3E">
      <w:pPr>
        <w:pStyle w:val="2"/>
        <w:numPr>
          <w:ilvl w:val="0"/>
          <w:numId w:val="1"/>
        </w:numPr>
        <w:jc w:val="both"/>
        <w:rPr>
          <w:b w:val="0"/>
          <w:bCs w:val="0"/>
          <w:sz w:val="28"/>
          <w:szCs w:val="28"/>
        </w:rPr>
      </w:pPr>
    </w:p>
    <w:p w14:paraId="3134E103" w14:textId="77777777" w:rsidR="00336A3E" w:rsidRDefault="00336A3E" w:rsidP="00336A3E">
      <w:pPr>
        <w:pStyle w:val="2"/>
        <w:tabs>
          <w:tab w:val="num" w:pos="720"/>
        </w:tabs>
        <w:ind w:left="567" w:firstLine="567"/>
        <w:rPr>
          <w:sz w:val="28"/>
          <w:szCs w:val="28"/>
        </w:rPr>
      </w:pPr>
    </w:p>
    <w:p w14:paraId="54A8F1F3" w14:textId="77777777" w:rsidR="00336A3E" w:rsidRDefault="00336A3E" w:rsidP="00336A3E">
      <w:pPr>
        <w:pStyle w:val="a3"/>
        <w:pBdr>
          <w:bottom w:val="single" w:sz="8" w:space="11" w:color="4F81BD"/>
        </w:pBdr>
        <w:ind w:firstLine="567"/>
        <w:jc w:val="both"/>
        <w:rPr>
          <w:rFonts w:ascii="Times New Roman" w:hAnsi="Times New Roman" w:cs="Times New Roman"/>
          <w:b w:val="0"/>
          <w:lang w:val="fr-FR"/>
        </w:rPr>
      </w:pPr>
      <w:r>
        <w:rPr>
          <w:rFonts w:ascii="Times New Roman" w:hAnsi="Times New Roman" w:cs="Times New Roman"/>
          <w:b w:val="0"/>
          <w:lang w:val="fr-FR"/>
        </w:rPr>
        <w:t xml:space="preserve">En 2009 - 2011, les Universités kazakhes ont signé à Bologne  la </w:t>
      </w:r>
      <w:r>
        <w:rPr>
          <w:rFonts w:ascii="Times New Roman" w:hAnsi="Times New Roman" w:cs="Times New Roman"/>
          <w:b w:val="0"/>
          <w:i/>
          <w:iCs/>
          <w:lang w:val="fr-FR"/>
        </w:rPr>
        <w:t xml:space="preserve">Grande Charte des Universités. </w:t>
      </w:r>
      <w:r>
        <w:rPr>
          <w:rFonts w:ascii="Times New Roman" w:hAnsi="Times New Roman" w:cs="Times New Roman"/>
          <w:b w:val="0"/>
          <w:lang w:val="fr-FR"/>
        </w:rPr>
        <w:t>Le Ministère de l’Education du Kazakhstan a conçu le modèle adapté du</w:t>
      </w:r>
      <w:r>
        <w:rPr>
          <w:rFonts w:ascii="Times New Roman" w:hAnsi="Times New Roman" w:cs="Times New Roman"/>
          <w:b w:val="0"/>
          <w:i/>
          <w:iCs/>
          <w:lang w:val="fr-FR"/>
        </w:rPr>
        <w:t xml:space="preserve"> Cadre européen commun de référence pour les langues </w:t>
      </w:r>
      <w:r>
        <w:rPr>
          <w:rFonts w:ascii="Times New Roman" w:hAnsi="Times New Roman" w:cs="Times New Roman"/>
          <w:b w:val="0"/>
          <w:lang w:val="fr-FR"/>
        </w:rPr>
        <w:t xml:space="preserve">avec une évaluation des connaissances selon le système de la formation au Kazakhstan. </w:t>
      </w:r>
    </w:p>
    <w:p w14:paraId="7056EA84" w14:textId="77777777" w:rsidR="00336A3E" w:rsidRDefault="00336A3E" w:rsidP="00336A3E">
      <w:pPr>
        <w:pStyle w:val="a3"/>
        <w:pBdr>
          <w:bottom w:val="single" w:sz="8" w:space="11" w:color="4F81BD"/>
        </w:pBdr>
        <w:ind w:firstLine="567"/>
        <w:jc w:val="both"/>
        <w:rPr>
          <w:rFonts w:ascii="Times New Roman" w:hAnsi="Times New Roman" w:cs="Times New Roman"/>
          <w:b w:val="0"/>
          <w:lang w:val="fr-FR"/>
        </w:rPr>
      </w:pPr>
      <w:r>
        <w:rPr>
          <w:rFonts w:ascii="Times New Roman" w:hAnsi="Times New Roman" w:cs="Times New Roman"/>
          <w:b w:val="0"/>
          <w:lang w:val="fr-FR"/>
        </w:rPr>
        <w:t>Les conséquences du système de Bologne pour les langues étrangères au Kazakhstan sont les suivantes :</w:t>
      </w:r>
    </w:p>
    <w:p w14:paraId="516FB1BA" w14:textId="77777777" w:rsidR="00336A3E" w:rsidRDefault="00336A3E" w:rsidP="00336A3E">
      <w:pPr>
        <w:pStyle w:val="a3"/>
        <w:pBdr>
          <w:bottom w:val="single" w:sz="8" w:space="11" w:color="4F81BD"/>
        </w:pBdr>
        <w:ind w:firstLine="567"/>
        <w:jc w:val="both"/>
        <w:rPr>
          <w:rFonts w:ascii="Times New Roman" w:hAnsi="Times New Roman" w:cs="Times New Roman"/>
          <w:b w:val="0"/>
          <w:lang w:val="fr-FR"/>
        </w:rPr>
      </w:pPr>
      <w:r>
        <w:rPr>
          <w:rFonts w:ascii="Times New Roman" w:hAnsi="Times New Roman" w:cs="Times New Roman"/>
          <w:b w:val="0"/>
          <w:lang w:val="fr-FR"/>
        </w:rPr>
        <w:t>- adoption et standartisation du programme et des normes des niveaux du Cadre européen commun de compétences ;</w:t>
      </w:r>
    </w:p>
    <w:p w14:paraId="45021C70" w14:textId="77777777" w:rsidR="00336A3E" w:rsidRDefault="00336A3E" w:rsidP="00336A3E">
      <w:pPr>
        <w:pStyle w:val="a3"/>
        <w:pBdr>
          <w:bottom w:val="single" w:sz="8" w:space="11" w:color="4F81BD"/>
        </w:pBdr>
        <w:ind w:firstLine="567"/>
        <w:jc w:val="both"/>
        <w:rPr>
          <w:rFonts w:ascii="Times New Roman" w:hAnsi="Times New Roman" w:cs="Times New Roman"/>
          <w:b w:val="0"/>
          <w:lang w:val="fr-FR"/>
        </w:rPr>
      </w:pPr>
      <w:r>
        <w:rPr>
          <w:rFonts w:ascii="Times New Roman" w:hAnsi="Times New Roman" w:cs="Times New Roman"/>
          <w:b w:val="0"/>
          <w:lang w:val="fr-FR"/>
        </w:rPr>
        <w:t xml:space="preserve">- standartisation des programmes d’apprentissage, d’enseignement et des compétences d’évaluation ; </w:t>
      </w:r>
    </w:p>
    <w:p w14:paraId="7D09D5CB" w14:textId="77777777" w:rsidR="00336A3E" w:rsidRDefault="00336A3E" w:rsidP="00336A3E">
      <w:pPr>
        <w:pStyle w:val="a3"/>
        <w:pBdr>
          <w:bottom w:val="single" w:sz="8" w:space="11" w:color="4F81BD"/>
        </w:pBdr>
        <w:ind w:firstLine="567"/>
        <w:jc w:val="both"/>
        <w:rPr>
          <w:rFonts w:ascii="Times New Roman" w:hAnsi="Times New Roman" w:cs="Times New Roman"/>
          <w:b w:val="0"/>
          <w:lang w:val="fr-FR"/>
        </w:rPr>
      </w:pPr>
      <w:r>
        <w:rPr>
          <w:rFonts w:ascii="Times New Roman" w:hAnsi="Times New Roman" w:cs="Times New Roman"/>
          <w:b w:val="0"/>
          <w:lang w:val="fr-FR"/>
        </w:rPr>
        <w:t>- développement de la formation d’enseignants plurilingues ;</w:t>
      </w:r>
    </w:p>
    <w:p w14:paraId="7D5BB62B" w14:textId="77777777" w:rsidR="00336A3E" w:rsidRDefault="00336A3E" w:rsidP="00336A3E">
      <w:pPr>
        <w:pStyle w:val="a3"/>
        <w:pBdr>
          <w:bottom w:val="single" w:sz="8" w:space="11" w:color="4F81BD"/>
        </w:pBdr>
        <w:tabs>
          <w:tab w:val="left" w:pos="709"/>
        </w:tabs>
        <w:ind w:firstLine="567"/>
        <w:jc w:val="both"/>
        <w:rPr>
          <w:rFonts w:ascii="Times New Roman" w:hAnsi="Times New Roman" w:cs="Times New Roman"/>
          <w:b w:val="0"/>
          <w:lang w:val="fr-FR"/>
        </w:rPr>
      </w:pPr>
      <w:r>
        <w:rPr>
          <w:rFonts w:ascii="Times New Roman" w:hAnsi="Times New Roman" w:cs="Times New Roman"/>
          <w:b w:val="0"/>
          <w:lang w:val="fr-FR"/>
        </w:rPr>
        <w:t>- développement des manuels adaptés, de nouveaux matériaux, programmes et contenus didactiques.</w:t>
      </w:r>
    </w:p>
    <w:p w14:paraId="42687F57" w14:textId="77777777" w:rsidR="00336A3E" w:rsidRDefault="00336A3E" w:rsidP="00336A3E">
      <w:pPr>
        <w:pStyle w:val="a3"/>
        <w:pBdr>
          <w:bottom w:val="single" w:sz="8" w:space="11" w:color="4F81BD"/>
        </w:pBdr>
        <w:ind w:firstLine="567"/>
        <w:jc w:val="both"/>
        <w:rPr>
          <w:rFonts w:ascii="Times New Roman" w:hAnsi="Times New Roman" w:cs="Times New Roman"/>
          <w:b w:val="0"/>
          <w:lang w:val="fr-FR"/>
        </w:rPr>
      </w:pPr>
      <w:r>
        <w:rPr>
          <w:rFonts w:ascii="Times New Roman" w:hAnsi="Times New Roman" w:cs="Times New Roman"/>
          <w:b w:val="0"/>
          <w:lang w:val="fr-FR"/>
        </w:rPr>
        <w:t xml:space="preserve">De nouveaux questionnements surgissent avec l’adoption du CECR qui implique de nouvelles conceptions de l’apprenant et de nouvelles pratiques de la part de l’enseignant. En effet, les apprenants ont déjà l’expérience d’au moins deux langues officielles (kazakh et russe) dans leur famille et/ou à l’école, si ce n’est davantage encore s’ils ont a appris une langue minoritaire dans leur entourage, sans oublier l’apprentissage d’une première langue étrangère obligatoire dès l’école primaire, à savoir l’anglais. Les étudiants sont donc déjà bilingues, voire plurilingues, dès leur enfance et arrivent dans le système éducatif puis universitaire avec un profil et un parcours </w:t>
      </w:r>
      <w:r>
        <w:rPr>
          <w:rFonts w:ascii="Times New Roman" w:hAnsi="Times New Roman" w:cs="Times New Roman"/>
          <w:b w:val="0"/>
          <w:i/>
          <w:iCs/>
          <w:lang w:val="fr-FR"/>
        </w:rPr>
        <w:t xml:space="preserve">de facto </w:t>
      </w:r>
      <w:r>
        <w:rPr>
          <w:rFonts w:ascii="Times New Roman" w:hAnsi="Times New Roman" w:cs="Times New Roman"/>
          <w:b w:val="0"/>
          <w:lang w:val="fr-FR"/>
        </w:rPr>
        <w:t>plurilingues et, dans un grand nombre de cas, pluriculturels.</w:t>
      </w:r>
    </w:p>
    <w:p w14:paraId="3DE9FFDA" w14:textId="77777777" w:rsidR="00336A3E" w:rsidRDefault="00336A3E" w:rsidP="00336A3E">
      <w:pPr>
        <w:pStyle w:val="a3"/>
        <w:pBdr>
          <w:bottom w:val="single" w:sz="8" w:space="11" w:color="4F81BD"/>
        </w:pBdr>
        <w:ind w:firstLine="567"/>
        <w:jc w:val="both"/>
        <w:rPr>
          <w:rFonts w:ascii="Times New Roman" w:hAnsi="Times New Roman" w:cs="Times New Roman"/>
          <w:b w:val="0"/>
          <w:lang w:val="fr-FR"/>
        </w:rPr>
      </w:pPr>
      <w:r>
        <w:rPr>
          <w:rFonts w:ascii="Times New Roman" w:hAnsi="Times New Roman" w:cs="Times New Roman"/>
          <w:b w:val="0"/>
          <w:lang w:val="fr-FR"/>
        </w:rPr>
        <w:t xml:space="preserve">L’apprentissage et l’enseignement des deuxièmes langues étrangères devraient alors se penser autrement. Ces profils plurilingues des apprenants impliquent des méthodes spécifiques incluant notamment la première langue étrangère mais aussi les autres langues « maternelles», langues premières, deuxième langues étrangères, etc. Mais il est encore rare de trouver un matériel didactique adéquat pour l’enseignement d’une deuxième langue étrangère qui prendrait appui sur les compétences «déjà-là» des élèves. </w:t>
      </w:r>
    </w:p>
    <w:p w14:paraId="55092077" w14:textId="77777777" w:rsidR="00336A3E" w:rsidRDefault="00336A3E" w:rsidP="00336A3E">
      <w:pPr>
        <w:pStyle w:val="a3"/>
        <w:pBdr>
          <w:bottom w:val="single" w:sz="8" w:space="11" w:color="4F81BD"/>
        </w:pBdr>
        <w:ind w:firstLine="567"/>
        <w:jc w:val="both"/>
        <w:rPr>
          <w:rFonts w:ascii="Times New Roman" w:hAnsi="Times New Roman" w:cs="Times New Roman"/>
          <w:b w:val="0"/>
          <w:lang w:val="fr-FR"/>
        </w:rPr>
      </w:pPr>
      <w:r>
        <w:rPr>
          <w:rFonts w:ascii="Times New Roman" w:hAnsi="Times New Roman" w:cs="Times New Roman"/>
          <w:b w:val="0"/>
          <w:lang w:val="fr-FR"/>
        </w:rPr>
        <w:t xml:space="preserve">Ainsi, dans le cas de l’apprentissage du français ou de l’allemand (ou de toute autre langue étrangère), les compétences linguistiques antérieures ne sont pas prises en compte par l’enseignant alors que le CECR encourage à développer des compétences plurilingues et pluriculturelles qui s’appuient sur les acquis. Toute une didactique du plurilinguisme, adapté toutefois au contexte, est à concevoir, toute une formation décloisonnée des enseignants de langues est à </w:t>
      </w:r>
      <w:r>
        <w:rPr>
          <w:rFonts w:ascii="Times New Roman" w:hAnsi="Times New Roman" w:cs="Times New Roman"/>
          <w:b w:val="0"/>
          <w:lang w:val="fr-FR"/>
        </w:rPr>
        <w:lastRenderedPageBreak/>
        <w:t>imaginer… si les éducatifs veulent répondre aux ambitions gouvernementales de la gestion de la diversité linguistique.</w:t>
      </w:r>
    </w:p>
    <w:p w14:paraId="5A2F6001" w14:textId="77777777" w:rsidR="00336A3E" w:rsidRDefault="00336A3E" w:rsidP="00336A3E">
      <w:pPr>
        <w:pStyle w:val="a3"/>
        <w:pBdr>
          <w:bottom w:val="single" w:sz="8" w:space="11" w:color="4F81BD"/>
        </w:pBdr>
        <w:ind w:firstLine="567"/>
        <w:jc w:val="both"/>
        <w:rPr>
          <w:rFonts w:ascii="Times New Roman" w:hAnsi="Times New Roman" w:cs="Times New Roman"/>
          <w:b w:val="0"/>
          <w:lang w:val="fr-FR"/>
        </w:rPr>
      </w:pPr>
      <w:r>
        <w:rPr>
          <w:rFonts w:ascii="Times New Roman" w:hAnsi="Times New Roman" w:cs="Times New Roman"/>
          <w:b w:val="0"/>
          <w:lang w:val="fr-FR"/>
        </w:rPr>
        <w:t>Le plurilinguisme est à entendre comme :</w:t>
      </w:r>
    </w:p>
    <w:p w14:paraId="6682D9FB" w14:textId="77777777" w:rsidR="00336A3E" w:rsidRDefault="00336A3E" w:rsidP="00336A3E">
      <w:pPr>
        <w:pStyle w:val="a3"/>
        <w:pBdr>
          <w:bottom w:val="single" w:sz="8" w:space="11" w:color="4F81BD"/>
        </w:pBdr>
        <w:ind w:firstLine="567"/>
        <w:jc w:val="both"/>
        <w:rPr>
          <w:rFonts w:ascii="Times New Roman" w:hAnsi="Times New Roman" w:cs="Times New Roman"/>
          <w:b w:val="0"/>
          <w:lang w:val="fr-FR"/>
        </w:rPr>
      </w:pPr>
      <w:r>
        <w:rPr>
          <w:rFonts w:ascii="Times New Roman" w:hAnsi="Times New Roman" w:cs="Times New Roman"/>
          <w:b w:val="0"/>
          <w:lang w:val="fr-FR"/>
        </w:rPr>
        <w:t>La capacité intrinsèque de tout locuteur à employer et à apprendre, seul ou par un enseignement, plus d’une langue. Cette compétence à utiliser plusieurs langues, a des degrés de compétences différents et pour des buts distincts est définie dans le Cadre européen commun de référence (p. 129), en tant compétence « à communiquer langagièrement et à interagir  culturellement d’un acteur social qui possède, à des degrés divers, la maîtrise de plusieurs langues et l’expérience de plusieurs cultures ». Cette compétence se matérialise dans un répertoire de langues que le locuteur peut utiliser. La finalité des enseignement est de développer cette compétence.</w:t>
      </w:r>
    </w:p>
    <w:p w14:paraId="44F1674C" w14:textId="77777777" w:rsidR="00336A3E" w:rsidRDefault="00336A3E" w:rsidP="00336A3E">
      <w:pPr>
        <w:pStyle w:val="a3"/>
        <w:pBdr>
          <w:bottom w:val="single" w:sz="8" w:space="11" w:color="4F81BD"/>
        </w:pBdr>
        <w:ind w:firstLine="567"/>
        <w:jc w:val="both"/>
        <w:rPr>
          <w:rFonts w:ascii="Times New Roman" w:hAnsi="Times New Roman" w:cs="Times New Roman"/>
          <w:b w:val="0"/>
          <w:lang w:val="fr-FR"/>
        </w:rPr>
      </w:pPr>
      <w:r>
        <w:rPr>
          <w:rFonts w:ascii="Times New Roman" w:hAnsi="Times New Roman" w:cs="Times New Roman"/>
          <w:b w:val="0"/>
          <w:lang w:val="fr-FR"/>
        </w:rPr>
        <w:t>Une valeur éducative fondant la tolérance linguistique, c’est-à-dire l’acceptation positive de cette diversité : la prise de conscience par un locuteur du caractère plurilingue de ses compétences peut amener à accorder une valeur égale à chacune des variétés utilisées par lui-même et par les autres locuteurs, même si celles –ci n’ont pas les mêmes fonctions (communication privée, professionnelle, officielle, langue d’appartenance…). Mais cette prise de conscience doit être accompagnée et structurée par la langue de la scolarisation, car elle n’est aucunement automatique.</w:t>
      </w:r>
    </w:p>
    <w:p w14:paraId="7C14A4C6" w14:textId="77777777" w:rsidR="00336A3E" w:rsidRDefault="00336A3E" w:rsidP="00336A3E">
      <w:pPr>
        <w:pStyle w:val="a3"/>
        <w:pBdr>
          <w:bottom w:val="single" w:sz="8" w:space="11" w:color="4F81BD"/>
        </w:pBdr>
        <w:ind w:firstLine="567"/>
        <w:jc w:val="both"/>
        <w:rPr>
          <w:rFonts w:ascii="Times New Roman" w:hAnsi="Times New Roman" w:cs="Times New Roman"/>
          <w:b w:val="0"/>
          <w:lang w:val="fr-FR"/>
        </w:rPr>
      </w:pPr>
    </w:p>
    <w:p w14:paraId="3F023BC9" w14:textId="77777777" w:rsidR="00336A3E" w:rsidRDefault="00336A3E" w:rsidP="00336A3E">
      <w:pPr>
        <w:pStyle w:val="a3"/>
        <w:pBdr>
          <w:bottom w:val="single" w:sz="8" w:space="11" w:color="4F81BD"/>
        </w:pBdr>
        <w:ind w:firstLine="567"/>
        <w:rPr>
          <w:rFonts w:ascii="Times New Roman" w:hAnsi="Times New Roman" w:cs="Times New Roman"/>
          <w:lang w:val="fr-FR"/>
        </w:rPr>
      </w:pPr>
    </w:p>
    <w:p w14:paraId="53BC7199" w14:textId="77777777" w:rsidR="00336A3E" w:rsidRDefault="00336A3E" w:rsidP="00336A3E">
      <w:pPr>
        <w:pStyle w:val="a3"/>
        <w:pBdr>
          <w:bottom w:val="single" w:sz="8" w:space="11" w:color="4F81BD"/>
        </w:pBdr>
        <w:ind w:firstLine="567"/>
        <w:rPr>
          <w:rFonts w:ascii="Times New Roman" w:hAnsi="Times New Roman" w:cs="Times New Roman"/>
          <w:lang w:val="fr-FR"/>
        </w:rPr>
      </w:pPr>
    </w:p>
    <w:p w14:paraId="7F5EE3C7" w14:textId="77777777" w:rsidR="00336A3E" w:rsidRDefault="00336A3E" w:rsidP="00336A3E">
      <w:pPr>
        <w:pStyle w:val="a3"/>
        <w:pBdr>
          <w:bottom w:val="single" w:sz="8" w:space="11" w:color="4F81BD"/>
        </w:pBdr>
        <w:ind w:firstLine="142"/>
        <w:rPr>
          <w:rFonts w:ascii="Times New Roman" w:hAnsi="Times New Roman" w:cs="Times New Roman"/>
        </w:rPr>
      </w:pPr>
      <w:r>
        <w:rPr>
          <w:rFonts w:ascii="Times New Roman" w:hAnsi="Times New Roman" w:cs="Times New Roman"/>
          <w:noProof/>
        </w:rPr>
        <w:lastRenderedPageBreak/>
        <w:drawing>
          <wp:inline distT="0" distB="0" distL="0" distR="0" wp14:anchorId="069772E5" wp14:editId="7B1F6D17">
            <wp:extent cx="5816600" cy="5327650"/>
            <wp:effectExtent l="0" t="0" r="0" b="6350"/>
            <wp:docPr id="2" name="Рисунок 2"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текст&#10;&#10;Автоматически созданное описание"/>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6600" cy="5327650"/>
                    </a:xfrm>
                    <a:prstGeom prst="rect">
                      <a:avLst/>
                    </a:prstGeom>
                    <a:noFill/>
                    <a:ln>
                      <a:noFill/>
                    </a:ln>
                  </pic:spPr>
                </pic:pic>
              </a:graphicData>
            </a:graphic>
          </wp:inline>
        </w:drawing>
      </w:r>
    </w:p>
    <w:p w14:paraId="76554A64" w14:textId="77777777" w:rsidR="00336A3E" w:rsidRDefault="00336A3E" w:rsidP="00336A3E">
      <w:pPr>
        <w:pStyle w:val="a3"/>
        <w:pBdr>
          <w:bottom w:val="single" w:sz="8" w:space="11" w:color="4F81BD"/>
        </w:pBdr>
        <w:ind w:firstLine="567"/>
        <w:rPr>
          <w:rFonts w:ascii="Times New Roman" w:hAnsi="Times New Roman" w:cs="Times New Roman"/>
        </w:rPr>
      </w:pPr>
    </w:p>
    <w:p w14:paraId="4113DD55" w14:textId="77777777" w:rsidR="00336A3E" w:rsidRDefault="00336A3E" w:rsidP="00336A3E">
      <w:pPr>
        <w:pStyle w:val="a3"/>
        <w:pBdr>
          <w:bottom w:val="single" w:sz="8" w:space="11" w:color="4F81BD"/>
        </w:pBdr>
        <w:ind w:firstLine="567"/>
        <w:rPr>
          <w:rFonts w:ascii="Times New Roman" w:hAnsi="Times New Roman" w:cs="Times New Roman"/>
        </w:rPr>
      </w:pPr>
    </w:p>
    <w:p w14:paraId="321EDB39" w14:textId="77777777" w:rsidR="00336A3E" w:rsidRDefault="00336A3E" w:rsidP="00336A3E">
      <w:pPr>
        <w:pStyle w:val="a3"/>
        <w:pBdr>
          <w:bottom w:val="single" w:sz="8" w:space="11" w:color="4F81BD"/>
        </w:pBdr>
        <w:ind w:firstLine="567"/>
        <w:rPr>
          <w:rFonts w:ascii="Times New Roman" w:hAnsi="Times New Roman" w:cs="Times New Roman"/>
        </w:rPr>
      </w:pPr>
    </w:p>
    <w:p w14:paraId="64CCEF46" w14:textId="77777777" w:rsidR="00336A3E" w:rsidRDefault="00336A3E" w:rsidP="00336A3E">
      <w:pPr>
        <w:pStyle w:val="a3"/>
        <w:pBdr>
          <w:bottom w:val="single" w:sz="8" w:space="11" w:color="4F81BD"/>
        </w:pBdr>
        <w:ind w:firstLine="567"/>
        <w:rPr>
          <w:rFonts w:ascii="Times New Roman" w:hAnsi="Times New Roman" w:cs="Times New Roman"/>
        </w:rPr>
      </w:pPr>
    </w:p>
    <w:p w14:paraId="25043AE8" w14:textId="77777777" w:rsidR="00336A3E" w:rsidRDefault="00336A3E" w:rsidP="00336A3E">
      <w:pPr>
        <w:pStyle w:val="a3"/>
        <w:pBdr>
          <w:bottom w:val="single" w:sz="8" w:space="11" w:color="4F81BD"/>
        </w:pBdr>
        <w:ind w:firstLine="567"/>
        <w:rPr>
          <w:rFonts w:ascii="Times New Roman" w:hAnsi="Times New Roman" w:cs="Times New Roman"/>
        </w:rPr>
      </w:pPr>
    </w:p>
    <w:p w14:paraId="2E548E08" w14:textId="77777777" w:rsidR="00336A3E" w:rsidRDefault="00336A3E" w:rsidP="00336A3E">
      <w:pPr>
        <w:pStyle w:val="a3"/>
        <w:pBdr>
          <w:bottom w:val="single" w:sz="8" w:space="11" w:color="4F81BD"/>
        </w:pBdr>
        <w:ind w:firstLine="567"/>
        <w:rPr>
          <w:rFonts w:ascii="Times New Roman" w:hAnsi="Times New Roman" w:cs="Times New Roman"/>
        </w:rPr>
      </w:pPr>
    </w:p>
    <w:p w14:paraId="7CD981C6" w14:textId="77777777" w:rsidR="00336A3E" w:rsidRDefault="00336A3E" w:rsidP="00336A3E">
      <w:pPr>
        <w:pStyle w:val="a3"/>
        <w:pBdr>
          <w:bottom w:val="single" w:sz="8" w:space="11" w:color="4F81BD"/>
        </w:pBdr>
        <w:ind w:firstLine="567"/>
        <w:rPr>
          <w:rFonts w:ascii="Times New Roman" w:hAnsi="Times New Roman" w:cs="Times New Roman"/>
        </w:rPr>
      </w:pPr>
    </w:p>
    <w:p w14:paraId="3F5483F6" w14:textId="77777777" w:rsidR="00336A3E" w:rsidRDefault="00336A3E" w:rsidP="00336A3E">
      <w:pPr>
        <w:pStyle w:val="a3"/>
        <w:pBdr>
          <w:bottom w:val="single" w:sz="8" w:space="11" w:color="4F81BD"/>
        </w:pBdr>
        <w:ind w:firstLine="567"/>
        <w:rPr>
          <w:rFonts w:ascii="Times New Roman" w:hAnsi="Times New Roman" w:cs="Times New Roman"/>
        </w:rPr>
      </w:pPr>
    </w:p>
    <w:p w14:paraId="28575819" w14:textId="77777777" w:rsidR="00336A3E" w:rsidRDefault="00336A3E" w:rsidP="00336A3E">
      <w:pPr>
        <w:pStyle w:val="a3"/>
        <w:pBdr>
          <w:bottom w:val="single" w:sz="8" w:space="11" w:color="4F81BD"/>
        </w:pBdr>
        <w:ind w:firstLine="567"/>
        <w:rPr>
          <w:rFonts w:ascii="Times New Roman" w:hAnsi="Times New Roman" w:cs="Times New Roman"/>
        </w:rPr>
      </w:pPr>
    </w:p>
    <w:p w14:paraId="39DB87DB" w14:textId="77777777" w:rsidR="00336A3E" w:rsidRDefault="00336A3E" w:rsidP="00336A3E">
      <w:pPr>
        <w:pStyle w:val="a3"/>
        <w:pBdr>
          <w:bottom w:val="single" w:sz="8" w:space="11" w:color="4F81BD"/>
        </w:pBdr>
        <w:ind w:firstLine="567"/>
        <w:rPr>
          <w:rFonts w:ascii="Times New Roman" w:hAnsi="Times New Roman" w:cs="Times New Roman"/>
        </w:rPr>
      </w:pPr>
    </w:p>
    <w:p w14:paraId="35F7AF0E" w14:textId="77777777" w:rsidR="00336A3E" w:rsidRDefault="00336A3E" w:rsidP="00336A3E">
      <w:pPr>
        <w:pStyle w:val="a3"/>
        <w:pBdr>
          <w:bottom w:val="single" w:sz="8" w:space="11" w:color="4F81BD"/>
        </w:pBdr>
        <w:ind w:firstLine="567"/>
        <w:rPr>
          <w:rFonts w:ascii="Times New Roman" w:hAnsi="Times New Roman" w:cs="Times New Roman"/>
        </w:rPr>
      </w:pPr>
    </w:p>
    <w:p w14:paraId="7A038566" w14:textId="77777777" w:rsidR="00336A3E" w:rsidRDefault="00336A3E" w:rsidP="00336A3E">
      <w:pPr>
        <w:pStyle w:val="a3"/>
        <w:pBdr>
          <w:bottom w:val="single" w:sz="8" w:space="11" w:color="4F81BD"/>
        </w:pBdr>
        <w:ind w:firstLine="567"/>
        <w:rPr>
          <w:rFonts w:ascii="Times New Roman" w:hAnsi="Times New Roman" w:cs="Times New Roman"/>
        </w:rPr>
      </w:pPr>
    </w:p>
    <w:p w14:paraId="742187AC" w14:textId="77777777" w:rsidR="00336A3E" w:rsidRDefault="00336A3E" w:rsidP="00336A3E">
      <w:pPr>
        <w:pStyle w:val="a3"/>
        <w:pBdr>
          <w:bottom w:val="single" w:sz="8" w:space="11" w:color="4F81BD"/>
        </w:pBdr>
        <w:ind w:firstLine="567"/>
        <w:rPr>
          <w:rFonts w:ascii="Times New Roman" w:hAnsi="Times New Roman" w:cs="Times New Roman"/>
        </w:rPr>
      </w:pPr>
    </w:p>
    <w:p w14:paraId="455EC7CC" w14:textId="77777777" w:rsidR="00336A3E" w:rsidRDefault="00336A3E" w:rsidP="00336A3E">
      <w:pPr>
        <w:pStyle w:val="a3"/>
        <w:pBdr>
          <w:bottom w:val="single" w:sz="8" w:space="11" w:color="4F81BD"/>
        </w:pBdr>
        <w:ind w:firstLine="567"/>
        <w:rPr>
          <w:rFonts w:ascii="Times New Roman" w:hAnsi="Times New Roman" w:cs="Times New Roman"/>
        </w:rPr>
      </w:pPr>
    </w:p>
    <w:p w14:paraId="6023AFC1" w14:textId="77777777" w:rsidR="00336A3E" w:rsidRDefault="00336A3E" w:rsidP="00336A3E">
      <w:pPr>
        <w:pStyle w:val="a3"/>
        <w:pBdr>
          <w:bottom w:val="single" w:sz="8" w:space="11" w:color="4F81BD"/>
        </w:pBdr>
        <w:ind w:firstLine="567"/>
        <w:rPr>
          <w:rFonts w:ascii="Times New Roman" w:hAnsi="Times New Roman" w:cs="Times New Roman"/>
        </w:rPr>
      </w:pPr>
    </w:p>
    <w:p w14:paraId="541A665D" w14:textId="77777777" w:rsidR="00336A3E" w:rsidRDefault="00336A3E" w:rsidP="00336A3E">
      <w:pPr>
        <w:pStyle w:val="a3"/>
        <w:pBdr>
          <w:bottom w:val="single" w:sz="8" w:space="11" w:color="4F81BD"/>
        </w:pBdr>
        <w:ind w:firstLine="567"/>
        <w:rPr>
          <w:rFonts w:ascii="Times New Roman" w:hAnsi="Times New Roman" w:cs="Times New Roman"/>
        </w:rPr>
      </w:pPr>
    </w:p>
    <w:p w14:paraId="13D5E32B" w14:textId="77777777" w:rsidR="00336A3E" w:rsidRDefault="00336A3E" w:rsidP="00336A3E">
      <w:pPr>
        <w:pStyle w:val="a3"/>
        <w:pBdr>
          <w:bottom w:val="single" w:sz="8" w:space="11" w:color="4F81BD"/>
        </w:pBdr>
        <w:ind w:firstLine="567"/>
        <w:rPr>
          <w:rFonts w:ascii="Times New Roman" w:hAnsi="Times New Roman" w:cs="Times New Roman"/>
        </w:rPr>
      </w:pPr>
    </w:p>
    <w:p w14:paraId="0F7892E2" w14:textId="77777777" w:rsidR="00336A3E" w:rsidRDefault="00336A3E" w:rsidP="00336A3E">
      <w:pPr>
        <w:pStyle w:val="a3"/>
        <w:pBdr>
          <w:bottom w:val="single" w:sz="8" w:space="11" w:color="4F81BD"/>
        </w:pBdr>
        <w:ind w:firstLine="567"/>
        <w:rPr>
          <w:rFonts w:ascii="Times New Roman" w:hAnsi="Times New Roman" w:cs="Times New Roman"/>
        </w:rPr>
      </w:pPr>
    </w:p>
    <w:p w14:paraId="1FA7ACAA" w14:textId="77777777" w:rsidR="00336A3E" w:rsidRDefault="00336A3E" w:rsidP="00336A3E">
      <w:pPr>
        <w:pStyle w:val="a3"/>
        <w:pBdr>
          <w:bottom w:val="single" w:sz="8" w:space="11" w:color="4F81BD"/>
        </w:pBdr>
        <w:ind w:firstLine="567"/>
        <w:rPr>
          <w:rFonts w:ascii="Times New Roman" w:hAnsi="Times New Roman" w:cs="Times New Roman"/>
        </w:rPr>
      </w:pPr>
    </w:p>
    <w:p w14:paraId="7E97B0F3" w14:textId="77777777" w:rsidR="00336A3E" w:rsidRDefault="00336A3E" w:rsidP="00336A3E">
      <w:pPr>
        <w:pStyle w:val="a3"/>
        <w:pBdr>
          <w:bottom w:val="single" w:sz="8" w:space="11" w:color="4F81BD"/>
        </w:pBdr>
        <w:ind w:firstLine="567"/>
        <w:rPr>
          <w:rFonts w:ascii="Times New Roman" w:hAnsi="Times New Roman" w:cs="Times New Roman"/>
        </w:rPr>
      </w:pPr>
    </w:p>
    <w:p w14:paraId="1C6C4727" w14:textId="77777777" w:rsidR="00336A3E" w:rsidRDefault="00336A3E" w:rsidP="00336A3E">
      <w:pPr>
        <w:pStyle w:val="a3"/>
        <w:pBdr>
          <w:bottom w:val="single" w:sz="8" w:space="11" w:color="4F81BD"/>
        </w:pBdr>
        <w:ind w:firstLine="567"/>
        <w:rPr>
          <w:rFonts w:ascii="Times New Roman" w:hAnsi="Times New Roman" w:cs="Times New Roman"/>
        </w:rPr>
      </w:pPr>
    </w:p>
    <w:p w14:paraId="00F253CD" w14:textId="77777777" w:rsidR="00336A3E" w:rsidRDefault="00336A3E" w:rsidP="00336A3E">
      <w:pPr>
        <w:pStyle w:val="a3"/>
        <w:pBdr>
          <w:bottom w:val="single" w:sz="8" w:space="11" w:color="4F81BD"/>
        </w:pBdr>
        <w:ind w:firstLine="567"/>
        <w:rPr>
          <w:rFonts w:ascii="Times New Roman" w:hAnsi="Times New Roman" w:cs="Times New Roman"/>
        </w:rPr>
      </w:pPr>
    </w:p>
    <w:p w14:paraId="6B858E86" w14:textId="77777777" w:rsidR="00336A3E" w:rsidRDefault="00336A3E" w:rsidP="00336A3E">
      <w:pPr>
        <w:pStyle w:val="a3"/>
        <w:pBdr>
          <w:bottom w:val="single" w:sz="8" w:space="11" w:color="4F81BD"/>
        </w:pBdr>
        <w:rPr>
          <w:rFonts w:ascii="Times New Roman" w:hAnsi="Times New Roman" w:cs="Times New Roman"/>
        </w:rPr>
      </w:pPr>
      <w:r>
        <w:rPr>
          <w:rFonts w:ascii="Times New Roman" w:hAnsi="Times New Roman" w:cs="Times New Roman"/>
          <w:noProof/>
        </w:rPr>
        <w:drawing>
          <wp:inline distT="0" distB="0" distL="0" distR="0" wp14:anchorId="7FA90A81" wp14:editId="13050082">
            <wp:extent cx="5940425" cy="5725795"/>
            <wp:effectExtent l="0" t="0" r="3175" b="8255"/>
            <wp:docPr id="1" name="Рисунок 1"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10;&#10;Автоматически созданное описание"/>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5725795"/>
                    </a:xfrm>
                    <a:prstGeom prst="rect">
                      <a:avLst/>
                    </a:prstGeom>
                    <a:noFill/>
                    <a:ln>
                      <a:noFill/>
                    </a:ln>
                  </pic:spPr>
                </pic:pic>
              </a:graphicData>
            </a:graphic>
          </wp:inline>
        </w:drawing>
      </w:r>
    </w:p>
    <w:p w14:paraId="7DB9AD94" w14:textId="77777777" w:rsidR="00336A3E" w:rsidRDefault="00336A3E" w:rsidP="00336A3E">
      <w:pPr>
        <w:pStyle w:val="a3"/>
        <w:pBdr>
          <w:bottom w:val="single" w:sz="8" w:space="11" w:color="4F81BD"/>
        </w:pBdr>
        <w:ind w:firstLine="567"/>
        <w:rPr>
          <w:rFonts w:ascii="Times New Roman" w:hAnsi="Times New Roman" w:cs="Times New Roman"/>
        </w:rPr>
      </w:pPr>
    </w:p>
    <w:p w14:paraId="5744F8BB" w14:textId="77777777" w:rsidR="00336A3E" w:rsidRDefault="00336A3E" w:rsidP="00336A3E">
      <w:pPr>
        <w:pStyle w:val="a3"/>
        <w:pBdr>
          <w:bottom w:val="single" w:sz="8" w:space="11" w:color="4F81BD"/>
        </w:pBdr>
        <w:ind w:firstLine="567"/>
        <w:rPr>
          <w:rFonts w:ascii="Times New Roman" w:hAnsi="Times New Roman" w:cs="Times New Roman"/>
        </w:rPr>
      </w:pPr>
    </w:p>
    <w:p w14:paraId="0C07026A" w14:textId="77777777" w:rsidR="00336A3E" w:rsidRDefault="00336A3E" w:rsidP="00336A3E">
      <w:pPr>
        <w:pStyle w:val="a3"/>
        <w:pBdr>
          <w:bottom w:val="single" w:sz="8" w:space="11" w:color="4F81BD"/>
        </w:pBdr>
        <w:ind w:firstLine="567"/>
        <w:rPr>
          <w:rFonts w:ascii="Times New Roman" w:hAnsi="Times New Roman" w:cs="Times New Roman"/>
        </w:rPr>
      </w:pPr>
    </w:p>
    <w:p w14:paraId="03F4663E" w14:textId="77777777" w:rsidR="00336A3E" w:rsidRDefault="00336A3E" w:rsidP="00336A3E">
      <w:pPr>
        <w:pStyle w:val="a3"/>
        <w:pBdr>
          <w:bottom w:val="single" w:sz="8" w:space="11" w:color="4F81BD"/>
        </w:pBdr>
        <w:ind w:firstLine="567"/>
        <w:rPr>
          <w:rFonts w:ascii="Times New Roman" w:hAnsi="Times New Roman" w:cs="Times New Roman"/>
        </w:rPr>
      </w:pPr>
    </w:p>
    <w:p w14:paraId="520301CF" w14:textId="77777777" w:rsidR="00336A3E" w:rsidRDefault="00336A3E" w:rsidP="00336A3E">
      <w:pPr>
        <w:pStyle w:val="a3"/>
        <w:pBdr>
          <w:bottom w:val="single" w:sz="8" w:space="11" w:color="4F81BD"/>
        </w:pBdr>
        <w:ind w:firstLine="567"/>
        <w:rPr>
          <w:rFonts w:ascii="Times New Roman" w:hAnsi="Times New Roman" w:cs="Times New Roman"/>
        </w:rPr>
      </w:pPr>
    </w:p>
    <w:p w14:paraId="58693F42" w14:textId="77777777" w:rsidR="00336A3E" w:rsidRDefault="00336A3E" w:rsidP="00336A3E">
      <w:pPr>
        <w:pStyle w:val="a3"/>
        <w:pBdr>
          <w:bottom w:val="single" w:sz="8" w:space="11" w:color="4F81BD"/>
        </w:pBdr>
        <w:ind w:firstLine="567"/>
        <w:rPr>
          <w:rFonts w:ascii="Times New Roman" w:hAnsi="Times New Roman" w:cs="Times New Roman"/>
        </w:rPr>
      </w:pPr>
    </w:p>
    <w:p w14:paraId="58ACB7BE" w14:textId="77777777" w:rsidR="00336A3E" w:rsidRDefault="00336A3E" w:rsidP="00336A3E">
      <w:pPr>
        <w:pStyle w:val="a3"/>
        <w:pBdr>
          <w:bottom w:val="single" w:sz="8" w:space="11" w:color="4F81BD"/>
        </w:pBdr>
        <w:ind w:firstLine="567"/>
        <w:rPr>
          <w:rFonts w:ascii="Times New Roman" w:hAnsi="Times New Roman" w:cs="Times New Roman"/>
        </w:rPr>
      </w:pPr>
    </w:p>
    <w:p w14:paraId="7511DC05" w14:textId="77777777" w:rsidR="00336A3E" w:rsidRDefault="00336A3E" w:rsidP="00336A3E">
      <w:pPr>
        <w:pStyle w:val="a3"/>
        <w:pBdr>
          <w:bottom w:val="single" w:sz="8" w:space="11" w:color="4F81BD"/>
        </w:pBdr>
        <w:ind w:firstLine="567"/>
        <w:rPr>
          <w:rFonts w:ascii="Times New Roman" w:hAnsi="Times New Roman" w:cs="Times New Roman"/>
        </w:rPr>
      </w:pPr>
    </w:p>
    <w:p w14:paraId="4932B084" w14:textId="77777777" w:rsidR="00336A3E" w:rsidRDefault="00336A3E" w:rsidP="00336A3E">
      <w:pPr>
        <w:pStyle w:val="a3"/>
        <w:pBdr>
          <w:bottom w:val="single" w:sz="8" w:space="11" w:color="4F81BD"/>
        </w:pBdr>
        <w:ind w:firstLine="567"/>
        <w:rPr>
          <w:rFonts w:ascii="Times New Roman" w:hAnsi="Times New Roman" w:cs="Times New Roman"/>
        </w:rPr>
      </w:pPr>
    </w:p>
    <w:p w14:paraId="38AA85CE" w14:textId="77777777" w:rsidR="00336A3E" w:rsidRDefault="00336A3E" w:rsidP="00336A3E">
      <w:pPr>
        <w:pStyle w:val="a3"/>
        <w:pBdr>
          <w:bottom w:val="single" w:sz="8" w:space="11" w:color="4F81BD"/>
        </w:pBdr>
        <w:ind w:firstLine="567"/>
        <w:rPr>
          <w:rFonts w:ascii="Times New Roman" w:hAnsi="Times New Roman" w:cs="Times New Roman"/>
        </w:rPr>
      </w:pPr>
    </w:p>
    <w:p w14:paraId="00DBFF1D" w14:textId="77777777" w:rsidR="00336A3E" w:rsidRDefault="00336A3E" w:rsidP="00336A3E">
      <w:pPr>
        <w:pStyle w:val="a3"/>
        <w:pBdr>
          <w:bottom w:val="single" w:sz="8" w:space="11" w:color="4F81BD"/>
        </w:pBdr>
        <w:ind w:firstLine="567"/>
        <w:rPr>
          <w:rFonts w:ascii="Times New Roman" w:hAnsi="Times New Roman" w:cs="Times New Roman"/>
        </w:rPr>
      </w:pPr>
    </w:p>
    <w:p w14:paraId="12D6B5C2" w14:textId="77777777" w:rsidR="00336A3E" w:rsidRDefault="00336A3E" w:rsidP="00336A3E">
      <w:pPr>
        <w:pStyle w:val="a3"/>
        <w:pBdr>
          <w:bottom w:val="single" w:sz="8" w:space="11" w:color="4F81BD"/>
        </w:pBdr>
        <w:ind w:firstLine="567"/>
        <w:rPr>
          <w:rFonts w:ascii="Times New Roman" w:hAnsi="Times New Roman" w:cs="Times New Roman"/>
        </w:rPr>
      </w:pPr>
    </w:p>
    <w:p w14:paraId="52078C1F" w14:textId="77777777" w:rsidR="00336A3E" w:rsidRDefault="00336A3E" w:rsidP="00336A3E">
      <w:pPr>
        <w:pStyle w:val="a3"/>
        <w:pBdr>
          <w:bottom w:val="single" w:sz="8" w:space="11" w:color="4F81BD"/>
        </w:pBdr>
        <w:ind w:firstLine="567"/>
        <w:rPr>
          <w:rFonts w:ascii="Times New Roman" w:hAnsi="Times New Roman" w:cs="Times New Roman"/>
        </w:rPr>
      </w:pPr>
    </w:p>
    <w:p w14:paraId="24296268" w14:textId="77777777" w:rsidR="003620EB" w:rsidRDefault="00000000"/>
    <w:sectPr w:rsidR="003620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ACF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2D73D3"/>
    <w:multiLevelType w:val="hybridMultilevel"/>
    <w:tmpl w:val="C09A4B2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106272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A3E"/>
    <w:rsid w:val="001077BD"/>
    <w:rsid w:val="00336A3E"/>
    <w:rsid w:val="003774C1"/>
    <w:rsid w:val="00E5336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3BD0D5AF"/>
  <w15:chartTrackingRefBased/>
  <w15:docId w15:val="{9BB7F332-BD68-C649-8478-E33BB88A1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K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36A3E"/>
    <w:pPr>
      <w:jc w:val="center"/>
    </w:pPr>
    <w:rPr>
      <w:rFonts w:ascii="Book Antiqua" w:eastAsia="Times New Roman" w:hAnsi="Book Antiqua" w:cs="Book Antiqua"/>
      <w:b/>
      <w:bCs/>
      <w:sz w:val="28"/>
      <w:szCs w:val="28"/>
      <w:lang w:val="ru-RU" w:eastAsia="ru-RU"/>
    </w:rPr>
  </w:style>
  <w:style w:type="character" w:customStyle="1" w:styleId="a4">
    <w:name w:val="Заголовок Знак"/>
    <w:basedOn w:val="a0"/>
    <w:link w:val="a3"/>
    <w:rsid w:val="00336A3E"/>
    <w:rPr>
      <w:rFonts w:ascii="Book Antiqua" w:eastAsia="Times New Roman" w:hAnsi="Book Antiqua" w:cs="Book Antiqua"/>
      <w:b/>
      <w:bCs/>
      <w:sz w:val="28"/>
      <w:szCs w:val="28"/>
      <w:lang w:val="ru-RU" w:eastAsia="ru-RU"/>
    </w:rPr>
  </w:style>
  <w:style w:type="paragraph" w:styleId="2">
    <w:name w:val="Body Text 2"/>
    <w:basedOn w:val="a"/>
    <w:link w:val="20"/>
    <w:uiPriority w:val="99"/>
    <w:unhideWhenUsed/>
    <w:rsid w:val="00336A3E"/>
    <w:pPr>
      <w:jc w:val="center"/>
    </w:pPr>
    <w:rPr>
      <w:rFonts w:ascii="Times New Roman" w:eastAsia="Times New Roman" w:hAnsi="Times New Roman" w:cs="Times New Roman"/>
      <w:b/>
      <w:bCs/>
      <w:lang w:val="fr-FR"/>
    </w:rPr>
  </w:style>
  <w:style w:type="character" w:customStyle="1" w:styleId="20">
    <w:name w:val="Основной текст 2 Знак"/>
    <w:basedOn w:val="a0"/>
    <w:link w:val="2"/>
    <w:uiPriority w:val="99"/>
    <w:rsid w:val="00336A3E"/>
    <w:rPr>
      <w:rFonts w:ascii="Times New Roman" w:eastAsia="Times New Roman" w:hAnsi="Times New Roman" w:cs="Times New Roman"/>
      <w:b/>
      <w:bCs/>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610</Words>
  <Characters>3480</Characters>
  <Application>Microsoft Office Word</Application>
  <DocSecurity>0</DocSecurity>
  <Lines>29</Lines>
  <Paragraphs>8</Paragraphs>
  <ScaleCrop>false</ScaleCrop>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Хамза Мадина Адебиетовна</dc:creator>
  <cp:keywords/>
  <dc:description/>
  <cp:lastModifiedBy>Хамза Мадина Адебиетовна</cp:lastModifiedBy>
  <cp:revision>1</cp:revision>
  <dcterms:created xsi:type="dcterms:W3CDTF">2022-11-05T07:12:00Z</dcterms:created>
  <dcterms:modified xsi:type="dcterms:W3CDTF">2022-11-05T07:12:00Z</dcterms:modified>
</cp:coreProperties>
</file>