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CB0E5" w14:textId="77777777" w:rsidR="00C23C66" w:rsidRPr="00591C2C" w:rsidRDefault="00C23C66" w:rsidP="00591C2C">
      <w:pPr>
        <w:pStyle w:val="a3"/>
        <w:spacing w:before="0" w:beforeAutospacing="0" w:after="0" w:afterAutospacing="0"/>
        <w:ind w:firstLine="709"/>
        <w:jc w:val="both"/>
        <w:rPr>
          <w:color w:val="000000"/>
        </w:rPr>
      </w:pPr>
      <w:bookmarkStart w:id="0" w:name="_GoBack"/>
      <w:bookmarkEnd w:id="0"/>
      <w:r w:rsidRPr="00591C2C">
        <w:rPr>
          <w:b/>
          <w:bCs/>
          <w:color w:val="000000"/>
        </w:rPr>
        <w:t>Дәріс жоспары:</w:t>
      </w:r>
    </w:p>
    <w:p w14:paraId="4CDB218C" w14:textId="77777777" w:rsidR="00C23C66" w:rsidRPr="00591C2C" w:rsidRDefault="00C23C66" w:rsidP="00591C2C">
      <w:pPr>
        <w:pStyle w:val="a3"/>
        <w:numPr>
          <w:ilvl w:val="0"/>
          <w:numId w:val="9"/>
        </w:numPr>
        <w:spacing w:before="0" w:beforeAutospacing="0" w:after="0" w:afterAutospacing="0"/>
        <w:ind w:left="0" w:firstLine="709"/>
        <w:jc w:val="both"/>
        <w:rPr>
          <w:color w:val="000000"/>
        </w:rPr>
      </w:pPr>
      <w:r w:rsidRPr="00591C2C">
        <w:rPr>
          <w:color w:val="000000"/>
        </w:rPr>
        <w:t>Ұлттық-есеп шоттар жүйесі және оның пайда болуы.</w:t>
      </w:r>
    </w:p>
    <w:p w14:paraId="0DA2E855" w14:textId="77777777" w:rsidR="00C23C66" w:rsidRPr="00591C2C" w:rsidRDefault="00C23C66" w:rsidP="00591C2C">
      <w:pPr>
        <w:pStyle w:val="a3"/>
        <w:numPr>
          <w:ilvl w:val="0"/>
          <w:numId w:val="9"/>
        </w:numPr>
        <w:spacing w:before="0" w:beforeAutospacing="0" w:after="0" w:afterAutospacing="0"/>
        <w:ind w:left="0" w:firstLine="709"/>
        <w:jc w:val="both"/>
        <w:rPr>
          <w:color w:val="000000"/>
        </w:rPr>
      </w:pPr>
      <w:r w:rsidRPr="00591C2C">
        <w:rPr>
          <w:color w:val="000000"/>
        </w:rPr>
        <w:t>Негізгі макроэкономикалық көрсеткіштер және олардың түрлері.</w:t>
      </w:r>
    </w:p>
    <w:p w14:paraId="3DB7AAA5" w14:textId="77777777" w:rsidR="00C23C66" w:rsidRPr="00591C2C" w:rsidRDefault="00C23C66" w:rsidP="00591C2C">
      <w:pPr>
        <w:pStyle w:val="a3"/>
        <w:numPr>
          <w:ilvl w:val="0"/>
          <w:numId w:val="9"/>
        </w:numPr>
        <w:spacing w:before="0" w:beforeAutospacing="0" w:after="0" w:afterAutospacing="0"/>
        <w:ind w:left="0" w:firstLine="709"/>
        <w:jc w:val="both"/>
        <w:rPr>
          <w:color w:val="000000"/>
        </w:rPr>
      </w:pPr>
      <w:r w:rsidRPr="00591C2C">
        <w:rPr>
          <w:color w:val="000000"/>
        </w:rPr>
        <w:t>Жалпы ұлттық өнімді есептеу әдістері. Баға индекстері.</w:t>
      </w:r>
    </w:p>
    <w:p w14:paraId="6E3E9845"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Ұлттық экономиканы макродеңгейде сипаттау үшін қолданылатын негізгі стандарт – ол </w:t>
      </w:r>
      <w:r w:rsidRPr="00591C2C">
        <w:rPr>
          <w:b/>
          <w:bCs/>
          <w:color w:val="000000"/>
        </w:rPr>
        <w:t>ұлттық есеп-шоттар жүйесі (ҰЕЖ)</w:t>
      </w:r>
      <w:r w:rsidRPr="00591C2C">
        <w:rPr>
          <w:color w:val="000000"/>
        </w:rPr>
        <w:t> – ұлттық өнім мен ұлттық табысты өндіру, бөлу және соңғы пайдалану үрдістерін сипаттайтын бухгалтерлік есеп-шот нысанындағы кестелер кешені. </w:t>
      </w:r>
      <w:r w:rsidRPr="00591C2C">
        <w:rPr>
          <w:b/>
          <w:bCs/>
          <w:color w:val="000000"/>
        </w:rPr>
        <w:t>ҰЕЖ-нің негізгі мақсаты</w:t>
      </w:r>
      <w:r w:rsidRPr="00591C2C">
        <w:rPr>
          <w:color w:val="000000"/>
        </w:rPr>
        <w:t> болып ұлттық өнімнің (ұлттық табыстың) қалыптасуы мен пайдалану үдерістерін кешенді, әрі жан-жақты талдау үшін, экономикалық саясатты жүргізу мен үлгілерді құру және болжау үшін қажетті мәліметтермен қамтамасыз етіп отыру табылады. Қазіргі ҰЕЖ экономикалық үрдістер мен экономикалық операцияларды бейнелейтін көрсеткіштер жиынтығын құрайды.</w:t>
      </w:r>
    </w:p>
    <w:p w14:paraId="72647989"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Негізгі макроэкономикалық көрсеткіштер ұлттық есеп-шоттар жүйесі арқылы көрсетіледі.</w:t>
      </w:r>
    </w:p>
    <w:p w14:paraId="13978152"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Ұлттық есеп-шоттар жүйесі жиынтық өнімнің (өндіріс көлемінің) үш негізгі көрсеткішін:</w:t>
      </w:r>
    </w:p>
    <w:p w14:paraId="3648E6B4" w14:textId="77777777" w:rsidR="00C23C66" w:rsidRPr="00591C2C" w:rsidRDefault="00C23C66" w:rsidP="00591C2C">
      <w:pPr>
        <w:pStyle w:val="a3"/>
        <w:numPr>
          <w:ilvl w:val="0"/>
          <w:numId w:val="10"/>
        </w:numPr>
        <w:spacing w:before="0" w:beforeAutospacing="0" w:after="0" w:afterAutospacing="0"/>
        <w:ind w:left="0" w:firstLine="709"/>
        <w:jc w:val="both"/>
        <w:rPr>
          <w:color w:val="000000"/>
        </w:rPr>
      </w:pPr>
      <w:r w:rsidRPr="00591C2C">
        <w:rPr>
          <w:color w:val="000000"/>
        </w:rPr>
        <w:t>жалпы ұлттық өнімді (ЖҰӨ);</w:t>
      </w:r>
    </w:p>
    <w:p w14:paraId="25C75EE9" w14:textId="77777777" w:rsidR="00C23C66" w:rsidRPr="00591C2C" w:rsidRDefault="00C23C66" w:rsidP="00591C2C">
      <w:pPr>
        <w:pStyle w:val="a3"/>
        <w:numPr>
          <w:ilvl w:val="0"/>
          <w:numId w:val="10"/>
        </w:numPr>
        <w:spacing w:before="0" w:beforeAutospacing="0" w:after="0" w:afterAutospacing="0"/>
        <w:ind w:left="0" w:firstLine="709"/>
        <w:jc w:val="both"/>
        <w:rPr>
          <w:color w:val="000000"/>
        </w:rPr>
      </w:pPr>
      <w:r w:rsidRPr="00591C2C">
        <w:rPr>
          <w:color w:val="000000"/>
        </w:rPr>
        <w:t>жалпы ішкі өнімді (ЖІӨ);</w:t>
      </w:r>
    </w:p>
    <w:p w14:paraId="6C90CA1D" w14:textId="77777777" w:rsidR="00C23C66" w:rsidRPr="00591C2C" w:rsidRDefault="00C23C66" w:rsidP="00591C2C">
      <w:pPr>
        <w:pStyle w:val="a3"/>
        <w:numPr>
          <w:ilvl w:val="0"/>
          <w:numId w:val="10"/>
        </w:numPr>
        <w:spacing w:before="0" w:beforeAutospacing="0" w:after="0" w:afterAutospacing="0"/>
        <w:ind w:left="0" w:firstLine="709"/>
        <w:jc w:val="both"/>
        <w:rPr>
          <w:color w:val="000000"/>
        </w:rPr>
      </w:pPr>
      <w:r w:rsidRPr="00591C2C">
        <w:rPr>
          <w:color w:val="000000"/>
        </w:rPr>
        <w:t>таза ұлттық өнімді (ТҰӨ)</w:t>
      </w:r>
    </w:p>
    <w:p w14:paraId="09A6A097"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және де жиынтық табыстың үш негізгі көрсеткішін:</w:t>
      </w:r>
    </w:p>
    <w:p w14:paraId="586B839E" w14:textId="77777777" w:rsidR="00C23C66" w:rsidRPr="00591C2C" w:rsidRDefault="00C23C66" w:rsidP="00591C2C">
      <w:pPr>
        <w:pStyle w:val="a3"/>
        <w:numPr>
          <w:ilvl w:val="0"/>
          <w:numId w:val="11"/>
        </w:numPr>
        <w:spacing w:before="0" w:beforeAutospacing="0" w:after="0" w:afterAutospacing="0"/>
        <w:ind w:left="0" w:firstLine="709"/>
        <w:jc w:val="both"/>
        <w:rPr>
          <w:color w:val="000000"/>
        </w:rPr>
      </w:pPr>
      <w:r w:rsidRPr="00591C2C">
        <w:rPr>
          <w:color w:val="000000"/>
        </w:rPr>
        <w:t>ұлттық табысты (ҰТ);</w:t>
      </w:r>
    </w:p>
    <w:p w14:paraId="2FA5182B" w14:textId="77777777" w:rsidR="00C23C66" w:rsidRPr="00591C2C" w:rsidRDefault="00C23C66" w:rsidP="00591C2C">
      <w:pPr>
        <w:pStyle w:val="a3"/>
        <w:numPr>
          <w:ilvl w:val="0"/>
          <w:numId w:val="11"/>
        </w:numPr>
        <w:spacing w:before="0" w:beforeAutospacing="0" w:after="0" w:afterAutospacing="0"/>
        <w:ind w:left="0" w:firstLine="709"/>
        <w:jc w:val="both"/>
        <w:rPr>
          <w:color w:val="000000"/>
        </w:rPr>
      </w:pPr>
      <w:r w:rsidRPr="00591C2C">
        <w:rPr>
          <w:color w:val="000000"/>
        </w:rPr>
        <w:t>жеке табысты (ЖТ);</w:t>
      </w:r>
    </w:p>
    <w:p w14:paraId="6B9D064E" w14:textId="77777777" w:rsidR="00C23C66" w:rsidRPr="00591C2C" w:rsidRDefault="00C23C66" w:rsidP="00591C2C">
      <w:pPr>
        <w:pStyle w:val="a3"/>
        <w:numPr>
          <w:ilvl w:val="0"/>
          <w:numId w:val="11"/>
        </w:numPr>
        <w:spacing w:before="0" w:beforeAutospacing="0" w:after="0" w:afterAutospacing="0"/>
        <w:ind w:left="0" w:firstLine="709"/>
        <w:jc w:val="both"/>
        <w:rPr>
          <w:color w:val="000000"/>
        </w:rPr>
      </w:pPr>
      <w:r w:rsidRPr="00591C2C">
        <w:rPr>
          <w:color w:val="000000"/>
        </w:rPr>
        <w:t>қолда бар табысты (ҚБТ) қамтиды.</w:t>
      </w:r>
    </w:p>
    <w:p w14:paraId="0207D2A1"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t>ЖҰӨ</w:t>
      </w:r>
      <w:r w:rsidRPr="00591C2C">
        <w:rPr>
          <w:color w:val="000000"/>
        </w:rPr>
        <w:t> – бұл кез-келген азаматтардың өз елі ішінде және басқа елдерде өзінің ұлттық капиталы көмегімен бір жылда өндірген және сатқан тауарлары мен қызметтерінің нарықтық құндарының жиынтығы.</w:t>
      </w:r>
    </w:p>
    <w:p w14:paraId="01281A5F"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t>ЖІӨ</w:t>
      </w:r>
      <w:r w:rsidRPr="00591C2C">
        <w:rPr>
          <w:color w:val="000000"/>
        </w:rPr>
        <w:t> – бұл сол елде тұратын өндірушілер капиталының</w:t>
      </w:r>
      <w:r w:rsidRPr="00591C2C">
        <w:rPr>
          <w:b/>
          <w:bCs/>
          <w:color w:val="000000"/>
        </w:rPr>
        <w:t> </w:t>
      </w:r>
      <w:r w:rsidRPr="00591C2C">
        <w:rPr>
          <w:color w:val="000000"/>
        </w:rPr>
        <w:t>ұлттық сипатына қарамастан бір жылда өндірген және сатқан тауарлары мен қызметтерінің нарықтық құндарының жиынтығы. Мысалы, жапондық «Тайота» фирмасы өз өнімін Қазақстан нарығында сатса, онда сатылған өнімнің құны жапон елінің ЖҰӨ-нің құрамына кіреді де, олардың ЖІӨ құнына кірмейді. Бірақ, Қазақстанның ЖІӨ-не кіреді, ал ЖҰӨ құрамына кірмейді. Сол сияқты Жапонияда жұмыс істейтін қазақ азаматының табысы Қазақстанның ЖҰӨ көрсеткіші құрамына кіреді де, ЖІӨ құрамына кірмейді, ал Жапонияның ЖІӨ-не кіреді де, ЖҰӨ-не кірмейді.</w:t>
      </w:r>
    </w:p>
    <w:p w14:paraId="7A88649C"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t>ТҰӨ</w:t>
      </w:r>
      <w:r w:rsidRPr="00591C2C">
        <w:rPr>
          <w:color w:val="000000"/>
        </w:rPr>
        <w:t> – тозған құрал-жабдықтардың орнын толтырғаннан кейін тұтынуға қалған түпкі өнімдер мен қызметтердің жиынтығы. Ол ЖҰӨ-нен амортизацияны шегеру арқылы анықталады:</w:t>
      </w:r>
    </w:p>
    <w:p w14:paraId="5D88AB0D"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ТҰӨ = ЖҰӨ – А</w:t>
      </w:r>
    </w:p>
    <w:p w14:paraId="5F16FE98"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t>ТҰӨ</w:t>
      </w:r>
      <w:r w:rsidRPr="00591C2C">
        <w:rPr>
          <w:color w:val="000000"/>
        </w:rPr>
        <w:t> – ЖҰӨ-нің халық тұтынуына кететін бөлігін көрсетеді. ТҰӨ-ң құрамында тұтыну саласына түспейтін әртүрлі салықтар бар. Оларға жанама салықтың түрлері: акциздер, кедендік салықтар, қосылған құнға салынатын салық жатады. Осыларды ТҰӨ-нен шегерсек ұлттық табысты табамыз:</w:t>
      </w:r>
    </w:p>
    <w:p w14:paraId="1031E424"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ҰТ = ТҰӨ – жанама салықтар</w:t>
      </w:r>
    </w:p>
    <w:p w14:paraId="6509E12A"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t>ҰТ</w:t>
      </w:r>
      <w:r w:rsidRPr="00591C2C">
        <w:rPr>
          <w:color w:val="000000"/>
        </w:rPr>
        <w:t> – елдің барлық тұрғындарының жиынтық табыстары, ұлттық сипаттағы өндіріс факторларының (еңбек, капитал, жер және кәсіпкерлік қабілет) барлық иелерінің тапқан табыстары: жалақы, пайыз, рента және пайда. Бірақ, осындай табыстардың барлығы түгел тұтыну мен жинақтауға жұмсалмайды. Сондықтанда, келесі макроэкономикалық көрсеткіш – жеке табысты табу үшін ҰТ-тан азаматтардың әлеуметтік сақтандыруға жарналарын, корпорациялардың бөлінбеген пайдасын, корпорациялық табыс салықтарын шегеріп, трансферттік төлемдерді қосамыз.</w:t>
      </w:r>
    </w:p>
    <w:p w14:paraId="470FE8EA"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lastRenderedPageBreak/>
        <w:t>ЖТ</w:t>
      </w:r>
      <w:r w:rsidRPr="00591C2C">
        <w:rPr>
          <w:color w:val="000000"/>
        </w:rPr>
        <w:t> = ҰТ – әлеуметтік сақтандыру жарналары – бөлінбеген пайда – корпорациялық табыс салығы + трансферттік төлемдер</w:t>
      </w:r>
    </w:p>
    <w:p w14:paraId="48673EFC"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Жеке табыстан азаматтардың жеке салықтарын: табыс салығын, мұраға салықты, мүлік салығын шегерсек қолда бар табыс қалады. Ол тұтыну мен жинақтауға жұмсалады.</w:t>
      </w:r>
    </w:p>
    <w:p w14:paraId="3BE82B8E"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t>ҚБТ</w:t>
      </w:r>
      <w:r w:rsidRPr="00591C2C">
        <w:rPr>
          <w:color w:val="000000"/>
        </w:rPr>
        <w:t> = жеке табыс – мұраға салық – мүлік салығы – табыс салығы</w:t>
      </w:r>
    </w:p>
    <w:p w14:paraId="54DBB08A"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Ұлттық есеп-шоттар жүйесінің көрсеткіштері жиынтық өнім мен жиынтық табысты тек сандық тұрғыдан ғана бағалайды, олар халықтың өмір сүру сапасын және әл-ауқаттылық деңгейін сипаттай алмайды, сонымен қатар, бұл көрсеткіштер ғылыми-техникалық прогресстің және экономикалық өсудің жағымды және жағымсыз салдарларын да есепке алмайды. Ал тұрғындардың өмір сүру сапасын және әл-ауқаттылық деңгейін ұлттық байлық, таза экономикалық әл-ауқат және жан басына шаққандағы ЖІӨ сияқты көрсеткіштер анықтайды.</w:t>
      </w:r>
    </w:p>
    <w:p w14:paraId="0B1082B1"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ЖҰӨ-ді есептеу үшін бағаның өзгеруін ғана емес, сонымен қатар, қайта есептеуді де ескеру қажет. Қайта есептеу мәселесі қалай орын алады? Көптеген өнімдер базарға түспес бұрын өндіріс сатыларынан өтеді. Сондықтан көптеген өнімдердің құрамдас бөлшектері бірнеше рет сатып алынады. Қайта есептеуді болдырмас үшін ЖҰӨ-ді есептегенде тек соңғы өнімнің нарықтық бағасы ғана алынады.</w:t>
      </w:r>
    </w:p>
    <w:p w14:paraId="13726AA3" w14:textId="77777777" w:rsidR="00C23C66" w:rsidRPr="00591C2C" w:rsidRDefault="00C23C66" w:rsidP="00591C2C">
      <w:pPr>
        <w:pStyle w:val="a3"/>
        <w:spacing w:before="0" w:beforeAutospacing="0" w:after="0" w:afterAutospacing="0"/>
        <w:ind w:firstLine="709"/>
        <w:jc w:val="both"/>
        <w:rPr>
          <w:color w:val="000000"/>
        </w:rPr>
      </w:pPr>
      <w:r w:rsidRPr="00591C2C">
        <w:rPr>
          <w:i/>
          <w:iCs/>
          <w:color w:val="000000"/>
        </w:rPr>
        <w:t>Соңғы өнім</w:t>
      </w:r>
      <w:r w:rsidRPr="00591C2C">
        <w:rPr>
          <w:color w:val="000000"/>
        </w:rPr>
        <w:t> – бұл соңғы пайдалану үшін сатып алынатын өнім.</w:t>
      </w:r>
    </w:p>
    <w:p w14:paraId="2771BABF" w14:textId="77777777" w:rsidR="00C23C66" w:rsidRPr="00591C2C" w:rsidRDefault="00C23C66" w:rsidP="00591C2C">
      <w:pPr>
        <w:pStyle w:val="a3"/>
        <w:spacing w:before="0" w:beforeAutospacing="0" w:after="0" w:afterAutospacing="0"/>
        <w:ind w:firstLine="709"/>
        <w:jc w:val="both"/>
        <w:rPr>
          <w:color w:val="000000"/>
        </w:rPr>
      </w:pPr>
      <w:r w:rsidRPr="00591C2C">
        <w:rPr>
          <w:i/>
          <w:iCs/>
          <w:color w:val="000000"/>
        </w:rPr>
        <w:t>Аралық өнім</w:t>
      </w:r>
      <w:r w:rsidRPr="00591C2C">
        <w:rPr>
          <w:color w:val="000000"/>
        </w:rPr>
        <w:t> – өңдеуге және қайта қымбатқа сатуға арналған өнімдер. Мысалы, машинаның дөңгелегі.</w:t>
      </w:r>
    </w:p>
    <w:p w14:paraId="5115E875"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Тәжірибеде қайта есептеуді болдырмас үшін тек қосылған құнды есептейді.</w:t>
      </w:r>
    </w:p>
    <w:p w14:paraId="5083BDC0" w14:textId="77777777" w:rsidR="00C23C66" w:rsidRPr="00591C2C" w:rsidRDefault="00C23C66" w:rsidP="00591C2C">
      <w:pPr>
        <w:pStyle w:val="a3"/>
        <w:spacing w:before="0" w:beforeAutospacing="0" w:after="0" w:afterAutospacing="0"/>
        <w:ind w:firstLine="709"/>
        <w:jc w:val="both"/>
        <w:rPr>
          <w:color w:val="000000"/>
        </w:rPr>
      </w:pPr>
      <w:r w:rsidRPr="00591C2C">
        <w:rPr>
          <w:i/>
          <w:iCs/>
          <w:color w:val="000000"/>
        </w:rPr>
        <w:t>Қосылған құн</w:t>
      </w:r>
      <w:r w:rsidRPr="00591C2C">
        <w:rPr>
          <w:color w:val="000000"/>
        </w:rPr>
        <w:t> – бұл шикізат пен материалдарға кеткен шығындарды шегергендегі өнімнің нарықтық құны. Кез-келген тауардың құны шикізат бағасы, басқару, жұмысшы жалақысынан тұрады. Сондықтан біз өнім құнынан барлық шикізат пен материалдарға кеткен шығындарды шегерсек, онда қалған бөлігі қосылған құнды құрайды.</w:t>
      </w:r>
    </w:p>
    <w:p w14:paraId="69134225"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ЖҰӨ-нің құрамына мыналар кірмейді:</w:t>
      </w:r>
    </w:p>
    <w:p w14:paraId="22DD65A7" w14:textId="77777777" w:rsidR="00C23C66" w:rsidRPr="00591C2C" w:rsidRDefault="00C23C66" w:rsidP="00591C2C">
      <w:pPr>
        <w:pStyle w:val="a3"/>
        <w:numPr>
          <w:ilvl w:val="0"/>
          <w:numId w:val="12"/>
        </w:numPr>
        <w:spacing w:before="0" w:beforeAutospacing="0" w:after="0" w:afterAutospacing="0"/>
        <w:ind w:left="0" w:firstLine="709"/>
        <w:jc w:val="both"/>
        <w:rPr>
          <w:color w:val="000000"/>
        </w:rPr>
      </w:pPr>
      <w:r w:rsidRPr="00591C2C">
        <w:rPr>
          <w:color w:val="000000"/>
        </w:rPr>
        <w:t>мемлекеттік трансферттік төлемдер, зейнетақылар, шәкіртақылар, жәрдемақылар, сақтандыру төлемдері;</w:t>
      </w:r>
    </w:p>
    <w:p w14:paraId="229173D6" w14:textId="77777777" w:rsidR="00C23C66" w:rsidRPr="00591C2C" w:rsidRDefault="00C23C66" w:rsidP="00591C2C">
      <w:pPr>
        <w:pStyle w:val="a3"/>
        <w:numPr>
          <w:ilvl w:val="0"/>
          <w:numId w:val="12"/>
        </w:numPr>
        <w:spacing w:before="0" w:beforeAutospacing="0" w:after="0" w:afterAutospacing="0"/>
        <w:ind w:left="0" w:firstLine="709"/>
        <w:jc w:val="both"/>
        <w:rPr>
          <w:color w:val="000000"/>
        </w:rPr>
      </w:pPr>
      <w:r w:rsidRPr="00591C2C">
        <w:rPr>
          <w:color w:val="000000"/>
        </w:rPr>
        <w:t>қор нарықтарындағы бағалы қағаздарды сату;</w:t>
      </w:r>
    </w:p>
    <w:p w14:paraId="4115AD1D" w14:textId="77777777" w:rsidR="00C23C66" w:rsidRPr="00591C2C" w:rsidRDefault="00C23C66" w:rsidP="00591C2C">
      <w:pPr>
        <w:pStyle w:val="a3"/>
        <w:numPr>
          <w:ilvl w:val="0"/>
          <w:numId w:val="12"/>
        </w:numPr>
        <w:spacing w:before="0" w:beforeAutospacing="0" w:after="0" w:afterAutospacing="0"/>
        <w:ind w:left="0" w:firstLine="709"/>
        <w:jc w:val="both"/>
        <w:rPr>
          <w:color w:val="000000"/>
        </w:rPr>
      </w:pPr>
      <w:r w:rsidRPr="00591C2C">
        <w:rPr>
          <w:color w:val="000000"/>
        </w:rPr>
        <w:t>ұсталған тауарларды сату (sekond-hand).</w:t>
      </w:r>
    </w:p>
    <w:p w14:paraId="779EF93D"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ЖҰӨ – ді есептеу үшін мынадай үш әдіс қолданылады:</w:t>
      </w:r>
    </w:p>
    <w:p w14:paraId="28CC92D8" w14:textId="77777777" w:rsidR="00C23C66" w:rsidRPr="00591C2C" w:rsidRDefault="00C23C66" w:rsidP="00591C2C">
      <w:pPr>
        <w:pStyle w:val="a3"/>
        <w:numPr>
          <w:ilvl w:val="0"/>
          <w:numId w:val="13"/>
        </w:numPr>
        <w:spacing w:before="0" w:beforeAutospacing="0" w:after="0" w:afterAutospacing="0"/>
        <w:ind w:left="0" w:firstLine="709"/>
        <w:jc w:val="both"/>
        <w:rPr>
          <w:color w:val="000000"/>
        </w:rPr>
      </w:pPr>
      <w:r w:rsidRPr="00591C2C">
        <w:rPr>
          <w:color w:val="000000"/>
        </w:rPr>
        <w:t>шығындар бойынша (соңғы пайдалану әдісі);</w:t>
      </w:r>
    </w:p>
    <w:p w14:paraId="4B2A41B5" w14:textId="77777777" w:rsidR="00C23C66" w:rsidRPr="00591C2C" w:rsidRDefault="00C23C66" w:rsidP="00591C2C">
      <w:pPr>
        <w:pStyle w:val="a3"/>
        <w:numPr>
          <w:ilvl w:val="0"/>
          <w:numId w:val="13"/>
        </w:numPr>
        <w:spacing w:before="0" w:beforeAutospacing="0" w:after="0" w:afterAutospacing="0"/>
        <w:ind w:left="0" w:firstLine="709"/>
        <w:jc w:val="both"/>
        <w:rPr>
          <w:color w:val="000000"/>
        </w:rPr>
      </w:pPr>
      <w:r w:rsidRPr="00591C2C">
        <w:rPr>
          <w:color w:val="000000"/>
        </w:rPr>
        <w:t>табыстар бойынша (бөлу әдісі);</w:t>
      </w:r>
    </w:p>
    <w:p w14:paraId="2F27A368" w14:textId="77777777" w:rsidR="00C23C66" w:rsidRPr="00591C2C" w:rsidRDefault="00C23C66" w:rsidP="00591C2C">
      <w:pPr>
        <w:pStyle w:val="a3"/>
        <w:numPr>
          <w:ilvl w:val="0"/>
          <w:numId w:val="13"/>
        </w:numPr>
        <w:spacing w:before="0" w:beforeAutospacing="0" w:after="0" w:afterAutospacing="0"/>
        <w:ind w:left="0" w:firstLine="709"/>
        <w:jc w:val="both"/>
        <w:rPr>
          <w:color w:val="000000"/>
        </w:rPr>
      </w:pPr>
      <w:r w:rsidRPr="00591C2C">
        <w:rPr>
          <w:color w:val="000000"/>
        </w:rPr>
        <w:t>қосылған құн бойынша (өндірістік әдіс).</w:t>
      </w:r>
    </w:p>
    <w:p w14:paraId="1EB4A0C7"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Шығындар бойынша ЖҰӨ-ді есептегенде барлық экономикалық агенттердің шығындары қосылады.</w:t>
      </w:r>
    </w:p>
    <w:p w14:paraId="1288BD86"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ЖҰӨ = C + I + G + Xn</w:t>
      </w:r>
    </w:p>
    <w:p w14:paraId="22DB7F3E"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мұндағы, С – үй шаруашылықтарының тұтыну тауарларына жұмсайтын шығындары (тамақ, киім-кешек, тұрғын үй төлемдері, демалыс шығындары, ұзақ пайдаланылатын тауарларды сатып алуға кететін шығындар, т.б.). Мұнда үй салуға немесе сатып алуға жұмсалатын шығындар есептелмейді. Олар инвестициялық шығындарға кіреді.</w:t>
      </w:r>
    </w:p>
    <w:p w14:paraId="59AD44E3"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I – фирмалардың инвестициялық шығындары (машиналар, станоктар, шикізат, құрылысқа кететін шығындар, т.б.). Инвестицияны жалпы және таза деп бөледі. Егер жалпы инвестициядан өндіріс үрдісінде ескірген машиналар мен станоктарды жаңартуға жұмсалған шығындар бөлігін (амортизация) шегерсек, онда таза инвестицияны табамыз.</w:t>
      </w:r>
    </w:p>
    <w:p w14:paraId="6738B0B9" w14:textId="77777777" w:rsidR="00C23C66" w:rsidRPr="00591C2C" w:rsidRDefault="00C23C66" w:rsidP="00591C2C">
      <w:pPr>
        <w:pStyle w:val="a3"/>
        <w:spacing w:before="0" w:beforeAutospacing="0" w:after="0" w:afterAutospacing="0"/>
        <w:ind w:firstLine="709"/>
        <w:jc w:val="both"/>
        <w:rPr>
          <w:color w:val="000000"/>
        </w:rPr>
      </w:pPr>
      <w:r w:rsidRPr="00591C2C">
        <w:rPr>
          <w:i/>
          <w:iCs/>
          <w:color w:val="000000"/>
        </w:rPr>
        <w:t>Таза инвестиция = Жалпы инвестиция – Амортизация</w:t>
      </w:r>
    </w:p>
    <w:p w14:paraId="04E09781"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lastRenderedPageBreak/>
        <w:t>G – мемлекеттік шығындар, яғни тауарлар мен қызметтерді мемлекеттің сатып алуы (мектеп, аурухана, жол құрылысы, мемлекеттік аппарат пен әскерді ұстауға кететін шығындар, т.б.). Мұнда трансферттік төлемдер кірмейді.</w:t>
      </w:r>
    </w:p>
    <w:p w14:paraId="3720F1BA"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Xn – бұл таза экспорт деп аталады, яғни сыртқы сауда байланысының сальдосы, немесе экспорт пен импорт арасындағы айырмашылық. Егер экспорт импорттан жоғары болса, онда таза экспорт оң болады, керісінше болса, таза экспорт теріс мәнді болады.</w:t>
      </w:r>
    </w:p>
    <w:p w14:paraId="05E63973"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Табыстар бойынша ЖҰӨ</w:t>
      </w:r>
      <w:r w:rsidRPr="00591C2C">
        <w:rPr>
          <w:color w:val="000000"/>
        </w:rPr>
        <w:noBreakHyphen/>
        <w:t>ді есептегенде барлық экономикалық агенттердің табыстары қосылады.</w:t>
      </w:r>
    </w:p>
    <w:p w14:paraId="6C36B230"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ЖҰӨ = W (C+S) + R + r + T + A</w:t>
      </w:r>
    </w:p>
    <w:p w14:paraId="095ECB3C"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мұндағы, W – бұл тұтынуға (С) және жинақтауға (S) кететін халықтың жалақы түріндегі табыстары.</w:t>
      </w:r>
    </w:p>
    <w:p w14:paraId="14A77093"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R – рента және арендалық төлемақылар түріндегі табыстар.</w:t>
      </w:r>
    </w:p>
    <w:p w14:paraId="76967E95"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r – жинақтаудан түсетін пайыз.</w:t>
      </w:r>
    </w:p>
    <w:p w14:paraId="06830967"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T – кәсіпкерлік қызметке салынатын салық, олар фирмалардан алынып мемлекетке түседі.</w:t>
      </w:r>
    </w:p>
    <w:p w14:paraId="6C0C5DDA"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A – амортизация, фирма табысынан алынып пайдаланылған өндіріс құрал-жабдықтарын алуға жұмсалады да қайтадан қайтарылады.</w:t>
      </w:r>
    </w:p>
    <w:p w14:paraId="31795F32"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Ұлттық есеп-шоттар жүйесіндегі барлық негізгі макроэкономикалық көрсеткіштер экономикалық әрекеттердің бір жыл ішіндегі және сол жылдың бағаларымен (ағымдық бағалармен) есепке алынған нәтижелерін сипатайды және сондықтанда бұл көрсеткіштер атаулы мәнге ие болып табылады.</w:t>
      </w:r>
    </w:p>
    <w:p w14:paraId="1845C354"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ЖҰӨ көрсеткішіне баға үлкен әсер етеді. Сондықтан ЖҰӨ-ді номиналды (атаулы) және нақты деп бөлеміз.</w:t>
      </w:r>
    </w:p>
    <w:p w14:paraId="47632FE7"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t>Номиналды (атаулы) ЖҰӨ</w:t>
      </w:r>
      <w:r w:rsidRPr="00591C2C">
        <w:rPr>
          <w:color w:val="000000"/>
        </w:rPr>
        <w:t> – бұл сол жылғы ағымдағы бағалармен есептелген ЖҰӨ көлемі.</w:t>
      </w:r>
    </w:p>
    <w:p w14:paraId="43318836" w14:textId="77777777" w:rsidR="00C23C66" w:rsidRPr="00591C2C" w:rsidRDefault="00C23C66" w:rsidP="00591C2C">
      <w:pPr>
        <w:pStyle w:val="a3"/>
        <w:spacing w:before="0" w:beforeAutospacing="0" w:after="0" w:afterAutospacing="0"/>
        <w:ind w:firstLine="709"/>
        <w:jc w:val="both"/>
        <w:rPr>
          <w:color w:val="000000"/>
        </w:rPr>
      </w:pPr>
      <w:r w:rsidRPr="00591C2C">
        <w:rPr>
          <w:b/>
          <w:bCs/>
          <w:color w:val="000000"/>
        </w:rPr>
        <w:t>Нақты ЖҰӨ</w:t>
      </w:r>
      <w:r w:rsidRPr="00591C2C">
        <w:rPr>
          <w:color w:val="000000"/>
        </w:rPr>
        <w:t> – бұл бағалардың өзгерісін есепке алатын және базистік бағалармен есептелетін ЖҰӨ көлемі.</w:t>
      </w:r>
    </w:p>
    <w:p w14:paraId="5E434A8B"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Номиналды ЖҰӨ-ді нақты ЖҰӨ-ге келтіру үшін екі индекс қолданылады:</w:t>
      </w:r>
    </w:p>
    <w:p w14:paraId="568FA8E9" w14:textId="77777777" w:rsidR="00C23C66" w:rsidRPr="00591C2C" w:rsidRDefault="00C23C66" w:rsidP="00591C2C">
      <w:pPr>
        <w:pStyle w:val="a3"/>
        <w:numPr>
          <w:ilvl w:val="0"/>
          <w:numId w:val="14"/>
        </w:numPr>
        <w:spacing w:before="0" w:beforeAutospacing="0" w:after="0" w:afterAutospacing="0"/>
        <w:ind w:left="0" w:firstLine="709"/>
        <w:jc w:val="both"/>
        <w:rPr>
          <w:color w:val="000000"/>
        </w:rPr>
      </w:pPr>
      <w:r w:rsidRPr="00591C2C">
        <w:rPr>
          <w:color w:val="000000"/>
        </w:rPr>
        <w:t>Тұтынушылық бағалар индексі (ТБИ);</w:t>
      </w:r>
    </w:p>
    <w:p w14:paraId="604FDA7E" w14:textId="77777777" w:rsidR="00C23C66" w:rsidRPr="00591C2C" w:rsidRDefault="00C23C66" w:rsidP="00591C2C">
      <w:pPr>
        <w:pStyle w:val="a3"/>
        <w:numPr>
          <w:ilvl w:val="0"/>
          <w:numId w:val="14"/>
        </w:numPr>
        <w:spacing w:before="0" w:beforeAutospacing="0" w:after="0" w:afterAutospacing="0"/>
        <w:ind w:left="0" w:firstLine="709"/>
        <w:jc w:val="both"/>
        <w:rPr>
          <w:color w:val="000000"/>
        </w:rPr>
      </w:pPr>
      <w:r w:rsidRPr="00591C2C">
        <w:rPr>
          <w:color w:val="000000"/>
        </w:rPr>
        <w:t>ЖҰӨ дефляторы.</w:t>
      </w:r>
    </w:p>
    <w:p w14:paraId="727E0A88" w14:textId="77777777" w:rsidR="00C23C66" w:rsidRPr="00591C2C" w:rsidRDefault="00C23C66" w:rsidP="00591C2C">
      <w:pPr>
        <w:pStyle w:val="a3"/>
        <w:spacing w:before="0" w:beforeAutospacing="0" w:after="0" w:afterAutospacing="0"/>
        <w:ind w:firstLine="709"/>
        <w:jc w:val="both"/>
        <w:rPr>
          <w:color w:val="000000"/>
        </w:rPr>
      </w:pPr>
      <w:r w:rsidRPr="00591C2C">
        <w:rPr>
          <w:color w:val="000000"/>
        </w:rPr>
        <w:t>ЖҰӨ-ді есептеудің кейбір қиыншылықтары бар. Мысалы, егер жеке адам көлік сатып алса, онда С болады, ал фирма сатып алса І болады. ТБИ-ды анықтау үшін «тұтыну қоржыны» пайдаланылады.</w:t>
      </w:r>
    </w:p>
    <w:p w14:paraId="211CAD28" w14:textId="77777777" w:rsidR="00C23C66" w:rsidRPr="00591C2C" w:rsidRDefault="00C23C66" w:rsidP="00591C2C">
      <w:pPr>
        <w:pStyle w:val="1"/>
        <w:spacing w:before="0" w:line="240" w:lineRule="auto"/>
        <w:ind w:firstLine="709"/>
        <w:jc w:val="both"/>
        <w:rPr>
          <w:rFonts w:ascii="Times New Roman" w:eastAsia="Times New Roman" w:hAnsi="Times New Roman" w:cs="Times New Roman"/>
          <w:b/>
          <w:bCs/>
          <w:color w:val="000000"/>
          <w:kern w:val="36"/>
          <w:sz w:val="24"/>
          <w:szCs w:val="24"/>
          <w:lang w:val="de-DE" w:eastAsia="de-DE"/>
        </w:rPr>
      </w:pPr>
      <w:r w:rsidRPr="00591C2C">
        <w:rPr>
          <w:rFonts w:ascii="Times New Roman" w:hAnsi="Times New Roman" w:cs="Times New Roman"/>
          <w:b/>
          <w:bCs/>
          <w:color w:val="000000"/>
          <w:sz w:val="24"/>
          <w:szCs w:val="24"/>
        </w:rPr>
        <w:t>ТБИ = ағымдағы жылғы «тұтыну қоржынының» бағасы /</w:t>
      </w:r>
      <w:r w:rsidRPr="00591C2C">
        <w:rPr>
          <w:rFonts w:ascii="Times New Roman" w:eastAsia="Times New Roman" w:hAnsi="Times New Roman" w:cs="Times New Roman"/>
          <w:b/>
          <w:bCs/>
          <w:color w:val="000000"/>
          <w:kern w:val="36"/>
          <w:sz w:val="24"/>
          <w:szCs w:val="24"/>
          <w:lang w:val="de-DE" w:eastAsia="de-DE"/>
        </w:rPr>
        <w:t>Базалық жылғы «тұтыну қоржынының» бағасы</w:t>
      </w:r>
    </w:p>
    <w:p w14:paraId="642BA3F5"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ТБИ тек тұтыну тауарларына ғана есептелетін баға индексі болып табылады. Бұл индекстің өзіндік кемшіліктері бар. Ал тек тұтыну емес, сонымен бірге инвестициялық және басқа да тауарлар бағаларының өзгерісін ескеретін баға индексі – ЖҰӨ дефляторы деп аталады.</w:t>
      </w:r>
    </w:p>
    <w:p w14:paraId="793DD254"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b/>
          <w:bCs/>
          <w:color w:val="000000"/>
          <w:sz w:val="24"/>
          <w:szCs w:val="24"/>
          <w:lang w:val="de-DE" w:eastAsia="de-DE"/>
        </w:rPr>
        <w:t>ЖҰӨ дефляторы = номиналды ЖҰӨ / нақты ЖҰӨ</w:t>
      </w:r>
    </w:p>
    <w:p w14:paraId="53BAE909"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ТБИ мен ЖҰӨ дефляторының арасындағы айырмашылық:</w:t>
      </w:r>
    </w:p>
    <w:p w14:paraId="448AD64F"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1) ТБИ – нақты тұтыну тауарларының құнын анықтайды. Яғни, «тұтыну қоржынының» құрылымы өзгермейді (мысалы: қант, шәй, нан, т.б.). Ал ЖҰӨ құрамына кіретін өнімдер көлемі алуан түрлі, әрі көлемі де өзгеріп отырады. Мысалы, бидайды көп өндірсек, онда ЖҰӨ құрамында оның үлесі жоғары болады. ЖҰӨ дефляторы экономикада өндірілетін барлық тауарлар мен қызметтер бағаларының өзгерісін есепке алады (мысалы, құрылыс объектілеріне баға өзгерісін, шикізат бағаларын, т.б.).</w:t>
      </w:r>
    </w:p>
    <w:p w14:paraId="1D4C7EF3"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2) ТБИ құрамына импорттың бағасы кіреді, ал дефлятор тек сол елде ғана өндірілген тауарлар бағасына байланысты анықталады.</w:t>
      </w:r>
    </w:p>
    <w:p w14:paraId="1AAEF97C"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lastRenderedPageBreak/>
        <w:t>Баға индекстерінің осындай түрлері Ласпейрес, Пааше және Фишер индекстеріне негізделеді.</w:t>
      </w:r>
    </w:p>
    <w:p w14:paraId="45A5CF48"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i/>
          <w:iCs/>
          <w:color w:val="000000"/>
          <w:sz w:val="24"/>
          <w:szCs w:val="24"/>
          <w:lang w:val="de-DE" w:eastAsia="de-DE"/>
        </w:rPr>
        <w:t>Ласпейрес индексі</w:t>
      </w:r>
      <w:r w:rsidRPr="00C23C66">
        <w:rPr>
          <w:rFonts w:ascii="Times New Roman" w:eastAsia="Times New Roman" w:hAnsi="Times New Roman" w:cs="Times New Roman"/>
          <w:color w:val="000000"/>
          <w:sz w:val="24"/>
          <w:szCs w:val="24"/>
          <w:lang w:val="de-DE" w:eastAsia="de-DE"/>
        </w:rPr>
        <w:t> тауарлар мен қызметтер құрылымы өзгермейді және базалық жылғы тауарлар мен қызметтер көлемін негізгі деп алады.</w:t>
      </w:r>
    </w:p>
    <w:p w14:paraId="050DD0B5"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b/>
          <w:bCs/>
          <w:color w:val="000000"/>
          <w:sz w:val="24"/>
          <w:szCs w:val="24"/>
          <w:lang w:val="de-DE" w:eastAsia="de-DE"/>
        </w:rPr>
        <w:t>I</w:t>
      </w:r>
      <w:r w:rsidRPr="00C23C66">
        <w:rPr>
          <w:rFonts w:ascii="Times New Roman" w:eastAsia="Times New Roman" w:hAnsi="Times New Roman" w:cs="Times New Roman"/>
          <w:b/>
          <w:bCs/>
          <w:color w:val="000000"/>
          <w:sz w:val="24"/>
          <w:szCs w:val="24"/>
          <w:vertAlign w:val="subscript"/>
          <w:lang w:val="de-DE" w:eastAsia="de-DE"/>
        </w:rPr>
        <w:t>L </w:t>
      </w:r>
      <w:r w:rsidRPr="00C23C66">
        <w:rPr>
          <w:rFonts w:ascii="Times New Roman" w:eastAsia="Times New Roman" w:hAnsi="Times New Roman" w:cs="Times New Roman"/>
          <w:b/>
          <w:bCs/>
          <w:color w:val="000000"/>
          <w:sz w:val="24"/>
          <w:szCs w:val="24"/>
          <w:lang w:val="de-DE" w:eastAsia="de-DE"/>
        </w:rPr>
        <w:t>= (</w:t>
      </w:r>
      <w:r w:rsidRPr="00C23C66">
        <w:rPr>
          <w:rFonts w:ascii="Times New Roman" w:eastAsia="Times New Roman" w:hAnsi="Times New Roman" w:cs="Times New Roman"/>
          <w:b/>
          <w:bCs/>
          <w:color w:val="000000"/>
          <w:sz w:val="24"/>
          <w:szCs w:val="24"/>
          <w:lang w:val="de-DE" w:eastAsia="de-DE"/>
        </w:rPr>
        <w:sym w:font="Symbol" w:char="F053"/>
      </w:r>
      <w:r w:rsidRPr="00C23C66">
        <w:rPr>
          <w:rFonts w:ascii="Times New Roman" w:eastAsia="Times New Roman" w:hAnsi="Times New Roman" w:cs="Times New Roman"/>
          <w:b/>
          <w:bCs/>
          <w:color w:val="000000"/>
          <w:sz w:val="24"/>
          <w:szCs w:val="24"/>
          <w:lang w:val="de-DE" w:eastAsia="de-DE"/>
        </w:rPr>
        <w:t>P</w:t>
      </w:r>
      <w:r w:rsidRPr="00C23C66">
        <w:rPr>
          <w:rFonts w:ascii="Times New Roman" w:eastAsia="Times New Roman" w:hAnsi="Times New Roman" w:cs="Times New Roman"/>
          <w:b/>
          <w:bCs/>
          <w:color w:val="000000"/>
          <w:sz w:val="24"/>
          <w:szCs w:val="24"/>
          <w:vertAlign w:val="subscript"/>
          <w:lang w:val="de-DE" w:eastAsia="de-DE"/>
        </w:rPr>
        <w:t>t</w:t>
      </w:r>
      <w:r w:rsidRPr="00C23C66">
        <w:rPr>
          <w:rFonts w:ascii="Times New Roman" w:eastAsia="Times New Roman" w:hAnsi="Times New Roman" w:cs="Times New Roman"/>
          <w:b/>
          <w:bCs/>
          <w:color w:val="000000"/>
          <w:sz w:val="24"/>
          <w:szCs w:val="24"/>
          <w:lang w:val="de-DE" w:eastAsia="de-DE"/>
        </w:rPr>
        <w:t>Q</w:t>
      </w:r>
      <w:r w:rsidRPr="00C23C66">
        <w:rPr>
          <w:rFonts w:ascii="Times New Roman" w:eastAsia="Times New Roman" w:hAnsi="Times New Roman" w:cs="Times New Roman"/>
          <w:b/>
          <w:bCs/>
          <w:color w:val="000000"/>
          <w:sz w:val="24"/>
          <w:szCs w:val="24"/>
          <w:vertAlign w:val="subscript"/>
          <w:lang w:val="de-DE" w:eastAsia="de-DE"/>
        </w:rPr>
        <w:t>0 </w:t>
      </w:r>
      <w:r w:rsidRPr="00C23C66">
        <w:rPr>
          <w:rFonts w:ascii="Times New Roman" w:eastAsia="Times New Roman" w:hAnsi="Times New Roman" w:cs="Times New Roman"/>
          <w:b/>
          <w:bCs/>
          <w:color w:val="000000"/>
          <w:sz w:val="24"/>
          <w:szCs w:val="24"/>
          <w:lang w:val="de-DE" w:eastAsia="de-DE"/>
        </w:rPr>
        <w:t xml:space="preserve">/ </w:t>
      </w:r>
      <w:r w:rsidRPr="00C23C66">
        <w:rPr>
          <w:rFonts w:ascii="Times New Roman" w:eastAsia="Times New Roman" w:hAnsi="Times New Roman" w:cs="Times New Roman"/>
          <w:b/>
          <w:bCs/>
          <w:color w:val="000000"/>
          <w:sz w:val="24"/>
          <w:szCs w:val="24"/>
          <w:lang w:val="de-DE" w:eastAsia="de-DE"/>
        </w:rPr>
        <w:sym w:font="Symbol" w:char="F053"/>
      </w:r>
      <w:r w:rsidRPr="00C23C66">
        <w:rPr>
          <w:rFonts w:ascii="Times New Roman" w:eastAsia="Times New Roman" w:hAnsi="Times New Roman" w:cs="Times New Roman"/>
          <w:b/>
          <w:bCs/>
          <w:color w:val="000000"/>
          <w:sz w:val="24"/>
          <w:szCs w:val="24"/>
          <w:lang w:val="de-DE" w:eastAsia="de-DE"/>
        </w:rPr>
        <w:t>P</w:t>
      </w:r>
      <w:r w:rsidRPr="00C23C66">
        <w:rPr>
          <w:rFonts w:ascii="Times New Roman" w:eastAsia="Times New Roman" w:hAnsi="Times New Roman" w:cs="Times New Roman"/>
          <w:b/>
          <w:bCs/>
          <w:color w:val="000000"/>
          <w:sz w:val="24"/>
          <w:szCs w:val="24"/>
          <w:vertAlign w:val="subscript"/>
          <w:lang w:val="de-DE" w:eastAsia="de-DE"/>
        </w:rPr>
        <w:t>0</w:t>
      </w:r>
      <w:r w:rsidRPr="00C23C66">
        <w:rPr>
          <w:rFonts w:ascii="Times New Roman" w:eastAsia="Times New Roman" w:hAnsi="Times New Roman" w:cs="Times New Roman"/>
          <w:b/>
          <w:bCs/>
          <w:color w:val="000000"/>
          <w:sz w:val="24"/>
          <w:szCs w:val="24"/>
          <w:lang w:val="de-DE" w:eastAsia="de-DE"/>
        </w:rPr>
        <w:t>Q</w:t>
      </w:r>
      <w:r w:rsidRPr="00C23C66">
        <w:rPr>
          <w:rFonts w:ascii="Times New Roman" w:eastAsia="Times New Roman" w:hAnsi="Times New Roman" w:cs="Times New Roman"/>
          <w:b/>
          <w:bCs/>
          <w:color w:val="000000"/>
          <w:sz w:val="24"/>
          <w:szCs w:val="24"/>
          <w:vertAlign w:val="subscript"/>
          <w:lang w:val="de-DE" w:eastAsia="de-DE"/>
        </w:rPr>
        <w:t>0</w:t>
      </w:r>
      <w:r w:rsidRPr="00C23C66">
        <w:rPr>
          <w:rFonts w:ascii="Times New Roman" w:eastAsia="Times New Roman" w:hAnsi="Times New Roman" w:cs="Times New Roman"/>
          <w:b/>
          <w:bCs/>
          <w:color w:val="000000"/>
          <w:sz w:val="24"/>
          <w:szCs w:val="24"/>
          <w:lang w:val="de-DE" w:eastAsia="de-DE"/>
        </w:rPr>
        <w:t>) ´ 100%</w:t>
      </w:r>
    </w:p>
    <w:p w14:paraId="7E0C512B"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мұндағы, Q</w:t>
      </w:r>
      <w:r w:rsidRPr="00C23C66">
        <w:rPr>
          <w:rFonts w:ascii="Times New Roman" w:eastAsia="Times New Roman" w:hAnsi="Times New Roman" w:cs="Times New Roman"/>
          <w:color w:val="000000"/>
          <w:sz w:val="24"/>
          <w:szCs w:val="24"/>
          <w:vertAlign w:val="subscript"/>
          <w:lang w:val="de-DE" w:eastAsia="de-DE"/>
        </w:rPr>
        <w:t>0</w:t>
      </w:r>
      <w:r w:rsidRPr="00C23C66">
        <w:rPr>
          <w:rFonts w:ascii="Times New Roman" w:eastAsia="Times New Roman" w:hAnsi="Times New Roman" w:cs="Times New Roman"/>
          <w:color w:val="000000"/>
          <w:sz w:val="24"/>
          <w:szCs w:val="24"/>
          <w:lang w:val="de-DE" w:eastAsia="de-DE"/>
        </w:rPr>
        <w:t> – базалық (тұрақты) жылғы өндірілген тауарлар көлемі;</w:t>
      </w:r>
    </w:p>
    <w:p w14:paraId="3992DF46"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P</w:t>
      </w:r>
      <w:r w:rsidRPr="00C23C66">
        <w:rPr>
          <w:rFonts w:ascii="Times New Roman" w:eastAsia="Times New Roman" w:hAnsi="Times New Roman" w:cs="Times New Roman"/>
          <w:color w:val="000000"/>
          <w:sz w:val="24"/>
          <w:szCs w:val="24"/>
          <w:vertAlign w:val="subscript"/>
          <w:lang w:val="de-DE" w:eastAsia="de-DE"/>
        </w:rPr>
        <w:t>0</w:t>
      </w:r>
      <w:r w:rsidRPr="00C23C66">
        <w:rPr>
          <w:rFonts w:ascii="Times New Roman" w:eastAsia="Times New Roman" w:hAnsi="Times New Roman" w:cs="Times New Roman"/>
          <w:color w:val="000000"/>
          <w:sz w:val="24"/>
          <w:szCs w:val="24"/>
          <w:lang w:val="de-DE" w:eastAsia="de-DE"/>
        </w:rPr>
        <w:t> – базалық (тұрақты) жылғы тауарлар бағасы;</w:t>
      </w:r>
    </w:p>
    <w:p w14:paraId="528C559F"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P</w:t>
      </w:r>
      <w:r w:rsidRPr="00C23C66">
        <w:rPr>
          <w:rFonts w:ascii="Times New Roman" w:eastAsia="Times New Roman" w:hAnsi="Times New Roman" w:cs="Times New Roman"/>
          <w:color w:val="000000"/>
          <w:sz w:val="24"/>
          <w:szCs w:val="24"/>
          <w:vertAlign w:val="subscript"/>
          <w:lang w:val="de-DE" w:eastAsia="de-DE"/>
        </w:rPr>
        <w:t>t</w:t>
      </w:r>
      <w:r w:rsidRPr="00C23C66">
        <w:rPr>
          <w:rFonts w:ascii="Times New Roman" w:eastAsia="Times New Roman" w:hAnsi="Times New Roman" w:cs="Times New Roman"/>
          <w:color w:val="000000"/>
          <w:sz w:val="24"/>
          <w:szCs w:val="24"/>
          <w:lang w:val="de-DE" w:eastAsia="de-DE"/>
        </w:rPr>
        <w:t> – ағымдағы жылғы тауарлар бағасы.</w:t>
      </w:r>
    </w:p>
    <w:p w14:paraId="6CBDA2C1"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i/>
          <w:iCs/>
          <w:color w:val="000000"/>
          <w:sz w:val="24"/>
          <w:szCs w:val="24"/>
          <w:lang w:val="de-DE" w:eastAsia="de-DE"/>
        </w:rPr>
        <w:t>Пааше индексі</w:t>
      </w:r>
      <w:r w:rsidRPr="00C23C66">
        <w:rPr>
          <w:rFonts w:ascii="Times New Roman" w:eastAsia="Times New Roman" w:hAnsi="Times New Roman" w:cs="Times New Roman"/>
          <w:color w:val="000000"/>
          <w:sz w:val="24"/>
          <w:szCs w:val="24"/>
          <w:lang w:val="de-DE" w:eastAsia="de-DE"/>
        </w:rPr>
        <w:t> ағымдағы жылғы тауарлар мен қызметтер бағасына негізделеді.</w:t>
      </w:r>
    </w:p>
    <w:p w14:paraId="4219B8D4"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b/>
          <w:bCs/>
          <w:color w:val="000000"/>
          <w:sz w:val="24"/>
          <w:szCs w:val="24"/>
          <w:lang w:val="de-DE" w:eastAsia="de-DE"/>
        </w:rPr>
        <w:t>I</w:t>
      </w:r>
      <w:r w:rsidRPr="00C23C66">
        <w:rPr>
          <w:rFonts w:ascii="Times New Roman" w:eastAsia="Times New Roman" w:hAnsi="Times New Roman" w:cs="Times New Roman"/>
          <w:b/>
          <w:bCs/>
          <w:color w:val="000000"/>
          <w:sz w:val="24"/>
          <w:szCs w:val="24"/>
          <w:vertAlign w:val="subscript"/>
          <w:lang w:val="de-DE" w:eastAsia="de-DE"/>
        </w:rPr>
        <w:t>Р </w:t>
      </w:r>
      <w:r w:rsidRPr="00C23C66">
        <w:rPr>
          <w:rFonts w:ascii="Times New Roman" w:eastAsia="Times New Roman" w:hAnsi="Times New Roman" w:cs="Times New Roman"/>
          <w:b/>
          <w:bCs/>
          <w:color w:val="000000"/>
          <w:sz w:val="24"/>
          <w:szCs w:val="24"/>
          <w:lang w:val="de-DE" w:eastAsia="de-DE"/>
        </w:rPr>
        <w:t>= (</w:t>
      </w:r>
      <w:r w:rsidRPr="00C23C66">
        <w:rPr>
          <w:rFonts w:ascii="Times New Roman" w:eastAsia="Times New Roman" w:hAnsi="Times New Roman" w:cs="Times New Roman"/>
          <w:b/>
          <w:bCs/>
          <w:color w:val="000000"/>
          <w:sz w:val="24"/>
          <w:szCs w:val="24"/>
          <w:lang w:val="de-DE" w:eastAsia="de-DE"/>
        </w:rPr>
        <w:sym w:font="Symbol" w:char="F053"/>
      </w:r>
      <w:r w:rsidRPr="00C23C66">
        <w:rPr>
          <w:rFonts w:ascii="Times New Roman" w:eastAsia="Times New Roman" w:hAnsi="Times New Roman" w:cs="Times New Roman"/>
          <w:b/>
          <w:bCs/>
          <w:color w:val="000000"/>
          <w:sz w:val="24"/>
          <w:szCs w:val="24"/>
          <w:lang w:val="de-DE" w:eastAsia="de-DE"/>
        </w:rPr>
        <w:t>Р</w:t>
      </w:r>
      <w:r w:rsidRPr="00C23C66">
        <w:rPr>
          <w:rFonts w:ascii="Times New Roman" w:eastAsia="Times New Roman" w:hAnsi="Times New Roman" w:cs="Times New Roman"/>
          <w:b/>
          <w:bCs/>
          <w:color w:val="000000"/>
          <w:sz w:val="24"/>
          <w:szCs w:val="24"/>
          <w:vertAlign w:val="subscript"/>
          <w:lang w:val="de-DE" w:eastAsia="de-DE"/>
        </w:rPr>
        <w:t>t</w:t>
      </w:r>
      <w:r w:rsidRPr="00C23C66">
        <w:rPr>
          <w:rFonts w:ascii="Times New Roman" w:eastAsia="Times New Roman" w:hAnsi="Times New Roman" w:cs="Times New Roman"/>
          <w:b/>
          <w:bCs/>
          <w:color w:val="000000"/>
          <w:sz w:val="24"/>
          <w:szCs w:val="24"/>
          <w:lang w:val="de-DE" w:eastAsia="de-DE"/>
        </w:rPr>
        <w:t>Q</w:t>
      </w:r>
      <w:r w:rsidRPr="00C23C66">
        <w:rPr>
          <w:rFonts w:ascii="Times New Roman" w:eastAsia="Times New Roman" w:hAnsi="Times New Roman" w:cs="Times New Roman"/>
          <w:b/>
          <w:bCs/>
          <w:color w:val="000000"/>
          <w:sz w:val="24"/>
          <w:szCs w:val="24"/>
          <w:vertAlign w:val="subscript"/>
          <w:lang w:val="de-DE" w:eastAsia="de-DE"/>
        </w:rPr>
        <w:t>t</w:t>
      </w:r>
      <w:r w:rsidRPr="00C23C66">
        <w:rPr>
          <w:rFonts w:ascii="Times New Roman" w:eastAsia="Times New Roman" w:hAnsi="Times New Roman" w:cs="Times New Roman"/>
          <w:b/>
          <w:bCs/>
          <w:color w:val="000000"/>
          <w:sz w:val="24"/>
          <w:szCs w:val="24"/>
          <w:lang w:val="de-DE" w:eastAsia="de-DE"/>
        </w:rPr>
        <w:t>/</w:t>
      </w:r>
      <w:r w:rsidRPr="00C23C66">
        <w:rPr>
          <w:rFonts w:ascii="Times New Roman" w:eastAsia="Times New Roman" w:hAnsi="Times New Roman" w:cs="Times New Roman"/>
          <w:b/>
          <w:bCs/>
          <w:color w:val="000000"/>
          <w:sz w:val="24"/>
          <w:szCs w:val="24"/>
          <w:lang w:val="de-DE" w:eastAsia="de-DE"/>
        </w:rPr>
        <w:sym w:font="Symbol" w:char="F053"/>
      </w:r>
      <w:r w:rsidRPr="00C23C66">
        <w:rPr>
          <w:rFonts w:ascii="Times New Roman" w:eastAsia="Times New Roman" w:hAnsi="Times New Roman" w:cs="Times New Roman"/>
          <w:b/>
          <w:bCs/>
          <w:color w:val="000000"/>
          <w:sz w:val="24"/>
          <w:szCs w:val="24"/>
          <w:lang w:val="de-DE" w:eastAsia="de-DE"/>
        </w:rPr>
        <w:t>P</w:t>
      </w:r>
      <w:r w:rsidRPr="00C23C66">
        <w:rPr>
          <w:rFonts w:ascii="Times New Roman" w:eastAsia="Times New Roman" w:hAnsi="Times New Roman" w:cs="Times New Roman"/>
          <w:b/>
          <w:bCs/>
          <w:color w:val="000000"/>
          <w:sz w:val="24"/>
          <w:szCs w:val="24"/>
          <w:vertAlign w:val="subscript"/>
          <w:lang w:val="de-DE" w:eastAsia="de-DE"/>
        </w:rPr>
        <w:t>0</w:t>
      </w:r>
      <w:r w:rsidRPr="00C23C66">
        <w:rPr>
          <w:rFonts w:ascii="Times New Roman" w:eastAsia="Times New Roman" w:hAnsi="Times New Roman" w:cs="Times New Roman"/>
          <w:b/>
          <w:bCs/>
          <w:color w:val="000000"/>
          <w:sz w:val="24"/>
          <w:szCs w:val="24"/>
          <w:lang w:val="de-DE" w:eastAsia="de-DE"/>
        </w:rPr>
        <w:t>Q</w:t>
      </w:r>
      <w:r w:rsidRPr="00C23C66">
        <w:rPr>
          <w:rFonts w:ascii="Times New Roman" w:eastAsia="Times New Roman" w:hAnsi="Times New Roman" w:cs="Times New Roman"/>
          <w:b/>
          <w:bCs/>
          <w:color w:val="000000"/>
          <w:sz w:val="24"/>
          <w:szCs w:val="24"/>
          <w:vertAlign w:val="subscript"/>
          <w:lang w:val="de-DE" w:eastAsia="de-DE"/>
        </w:rPr>
        <w:t>t</w:t>
      </w:r>
      <w:r w:rsidRPr="00C23C66">
        <w:rPr>
          <w:rFonts w:ascii="Times New Roman" w:eastAsia="Times New Roman" w:hAnsi="Times New Roman" w:cs="Times New Roman"/>
          <w:b/>
          <w:bCs/>
          <w:color w:val="000000"/>
          <w:sz w:val="24"/>
          <w:szCs w:val="24"/>
          <w:lang w:val="de-DE" w:eastAsia="de-DE"/>
        </w:rPr>
        <w:t>) ´ 100%</w:t>
      </w:r>
    </w:p>
    <w:p w14:paraId="6FD47A73"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мұндағы, Q</w:t>
      </w:r>
      <w:r w:rsidRPr="00C23C66">
        <w:rPr>
          <w:rFonts w:ascii="Times New Roman" w:eastAsia="Times New Roman" w:hAnsi="Times New Roman" w:cs="Times New Roman"/>
          <w:color w:val="000000"/>
          <w:sz w:val="24"/>
          <w:szCs w:val="24"/>
          <w:vertAlign w:val="subscript"/>
          <w:lang w:val="de-DE" w:eastAsia="de-DE"/>
        </w:rPr>
        <w:t>t</w:t>
      </w:r>
      <w:r w:rsidRPr="00C23C66">
        <w:rPr>
          <w:rFonts w:ascii="Times New Roman" w:eastAsia="Times New Roman" w:hAnsi="Times New Roman" w:cs="Times New Roman"/>
          <w:color w:val="000000"/>
          <w:sz w:val="24"/>
          <w:szCs w:val="24"/>
          <w:lang w:val="de-DE" w:eastAsia="de-DE"/>
        </w:rPr>
        <w:t> – ағымдағы жылғы тауарлар мен қызметтер көлемі.</w:t>
      </w:r>
    </w:p>
    <w:p w14:paraId="456A7B06"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Пааше индексінде тауарлар мен қызметтердің жиынтығы өзгереді және оны ЖҰӨ дефляторы деп те атайды.</w:t>
      </w:r>
    </w:p>
    <w:p w14:paraId="20FE68BA"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i/>
          <w:iCs/>
          <w:color w:val="000000"/>
          <w:sz w:val="24"/>
          <w:szCs w:val="24"/>
          <w:lang w:val="de-DE" w:eastAsia="de-DE"/>
        </w:rPr>
        <w:t>Фишер индексі</w:t>
      </w:r>
      <w:r w:rsidRPr="00C23C66">
        <w:rPr>
          <w:rFonts w:ascii="Times New Roman" w:eastAsia="Times New Roman" w:hAnsi="Times New Roman" w:cs="Times New Roman"/>
          <w:color w:val="000000"/>
          <w:sz w:val="24"/>
          <w:szCs w:val="24"/>
          <w:lang w:val="de-DE" w:eastAsia="de-DE"/>
        </w:rPr>
        <w:t> – Ласпейрес және Пааше индекстерінің орташа геометриялық шамасы.</w:t>
      </w:r>
    </w:p>
    <w:p w14:paraId="5B046F5A"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b/>
          <w:bCs/>
          <w:color w:val="000000"/>
          <w:sz w:val="24"/>
          <w:szCs w:val="24"/>
          <w:lang w:val="de-DE" w:eastAsia="de-DE"/>
        </w:rPr>
        <w:t>I</w:t>
      </w:r>
      <w:r w:rsidRPr="00C23C66">
        <w:rPr>
          <w:rFonts w:ascii="Times New Roman" w:eastAsia="Times New Roman" w:hAnsi="Times New Roman" w:cs="Times New Roman"/>
          <w:b/>
          <w:bCs/>
          <w:color w:val="000000"/>
          <w:sz w:val="24"/>
          <w:szCs w:val="24"/>
          <w:vertAlign w:val="subscript"/>
          <w:lang w:val="de-DE" w:eastAsia="de-DE"/>
        </w:rPr>
        <w:t>F</w:t>
      </w:r>
      <w:r w:rsidRPr="00C23C66">
        <w:rPr>
          <w:rFonts w:ascii="Times New Roman" w:eastAsia="Times New Roman" w:hAnsi="Times New Roman" w:cs="Times New Roman"/>
          <w:b/>
          <w:bCs/>
          <w:color w:val="000000"/>
          <w:sz w:val="24"/>
          <w:szCs w:val="24"/>
          <w:lang w:val="de-DE" w:eastAsia="de-DE"/>
        </w:rPr>
        <w:t> = √ I</w:t>
      </w:r>
      <w:r w:rsidRPr="00C23C66">
        <w:rPr>
          <w:rFonts w:ascii="Times New Roman" w:eastAsia="Times New Roman" w:hAnsi="Times New Roman" w:cs="Times New Roman"/>
          <w:b/>
          <w:bCs/>
          <w:color w:val="000000"/>
          <w:sz w:val="24"/>
          <w:szCs w:val="24"/>
          <w:vertAlign w:val="subscript"/>
          <w:lang w:val="de-DE" w:eastAsia="de-DE"/>
        </w:rPr>
        <w:t>L</w:t>
      </w:r>
      <w:r w:rsidRPr="00C23C66">
        <w:rPr>
          <w:rFonts w:ascii="Times New Roman" w:eastAsia="Times New Roman" w:hAnsi="Times New Roman" w:cs="Times New Roman"/>
          <w:b/>
          <w:bCs/>
          <w:color w:val="000000"/>
          <w:sz w:val="24"/>
          <w:szCs w:val="24"/>
          <w:lang w:val="de-DE" w:eastAsia="de-DE"/>
        </w:rPr>
        <w:t> I</w:t>
      </w:r>
      <w:r w:rsidRPr="00C23C66">
        <w:rPr>
          <w:rFonts w:ascii="Times New Roman" w:eastAsia="Times New Roman" w:hAnsi="Times New Roman" w:cs="Times New Roman"/>
          <w:b/>
          <w:bCs/>
          <w:color w:val="000000"/>
          <w:sz w:val="24"/>
          <w:szCs w:val="24"/>
          <w:vertAlign w:val="subscript"/>
          <w:lang w:val="de-DE" w:eastAsia="de-DE"/>
        </w:rPr>
        <w:t>P</w:t>
      </w:r>
    </w:p>
    <w:p w14:paraId="5430A9FC"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Баға индекстері елдегі инфляция қарқынын, өмір сүру құнының динамикасын анықтау үшін қолданылады.</w:t>
      </w:r>
    </w:p>
    <w:p w14:paraId="69F5FDAA"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Ұлттық экономикада жасырын немесе көлеңкелі экономиканың болуы ЖІӨ-нің және ҰЕЖ-нің басқа да көрсеткіштерінің ақиқат шамаларын айқындауда қиыншылықтар тудырады. Экономикалық статистикада көрсетілмейтін экономикалық іс-әрекеттер жасырын жасалады.</w:t>
      </w:r>
    </w:p>
    <w:p w14:paraId="1D1149C9"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b/>
          <w:bCs/>
          <w:color w:val="000000"/>
          <w:sz w:val="24"/>
          <w:szCs w:val="24"/>
          <w:lang w:val="de-DE" w:eastAsia="de-DE"/>
        </w:rPr>
        <w:t>Қорытынды</w:t>
      </w:r>
    </w:p>
    <w:p w14:paraId="3B48747E"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1. Ұлттық есеп-шоттар жүйесі – ұлттық өнім мен ұлттық табысты өндіру, бөлу және соңғы пайдалану үрдістерін сипаттайтын бухгалтерлік есеп-шот нысанындағы кестелер кешені.</w:t>
      </w:r>
    </w:p>
    <w:p w14:paraId="65A9E2C2"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2. ҰЕЖ-нің негізгі мақсаты болып ұлттық өнімнің (ұлттық табыстың) қалыптасуы мен пайдалану үдерістерін кешенді, әрі жан-жақты талдау үшін, экономикалық саясатты жүргізу мен үлгілерді құру және болжау үшін қажетті мәліметтермен қамтамасыз етіп отыру табылады. Қазіргі ҰЕЖ экономикалық үрдістер мен экономикалық операцияларды бейнелейтін көрсеткіштер жиынтығын құрайды.</w:t>
      </w:r>
    </w:p>
    <w:p w14:paraId="416D1647"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3. Ұлттық есеп-шоттар жүйесіндегі негізгі макроэкономикалық көрсеткіштер мыналар болып табылады: жалпы ұлттық өнім, жалпы ішкі өнім, таза ұлттық өнім, ұлттық табыс, жеке табыс және қолда бар табыс.</w:t>
      </w:r>
    </w:p>
    <w:p w14:paraId="10FC678E"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4. Жалпы ішкі өнім мынадай әдістермен есептеледі: қосылған құн бойынша, шығындар бойынша және табыстар бойынша. Сонымен қатар, жалпы ішкі өнімге баға деңгейі маңызды түрде әсер еткендіктен оның екі түрі ажыратылады: атаулы жалпы ішкі өнім және нақты жалпы ішкі өнім.</w:t>
      </w:r>
    </w:p>
    <w:p w14:paraId="3E1D6A2F"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5. Бағалар индекстерінің макроэкономикалық көрсеткіштері тұтыну бағаларының индексі және өндірушілер бағаларының индексі болып бөлінеді. Жалпы ішкі өнім дефляторы атаулы жалпы ішкі өнімнің нақты жалпы ішкі өнімге қатынасын білдіреді. Тұтыну бағаларының индексі Ласпейрес индексімен есептеледі, жалпы ішкі өнім дефляторы Пааше индексімен есептеледі, ал Фишер индексі Ласпейрес индексі мен Пааше индескінің кемшіліктерін жояды.</w:t>
      </w:r>
    </w:p>
    <w:p w14:paraId="097F5E60" w14:textId="77777777" w:rsidR="00C23C66" w:rsidRPr="00C23C66" w:rsidRDefault="00C23C66" w:rsidP="00591C2C">
      <w:pPr>
        <w:spacing w:after="0" w:line="240" w:lineRule="auto"/>
        <w:ind w:firstLine="709"/>
        <w:jc w:val="both"/>
        <w:rPr>
          <w:rFonts w:ascii="Times New Roman" w:eastAsia="Times New Roman" w:hAnsi="Times New Roman" w:cs="Times New Roman"/>
          <w:color w:val="000000"/>
          <w:sz w:val="24"/>
          <w:szCs w:val="24"/>
          <w:lang w:val="de-DE" w:eastAsia="de-DE"/>
        </w:rPr>
      </w:pPr>
      <w:r w:rsidRPr="00C23C66">
        <w:rPr>
          <w:rFonts w:ascii="Times New Roman" w:eastAsia="Times New Roman" w:hAnsi="Times New Roman" w:cs="Times New Roman"/>
          <w:color w:val="000000"/>
          <w:sz w:val="24"/>
          <w:szCs w:val="24"/>
          <w:lang w:val="de-DE" w:eastAsia="de-DE"/>
        </w:rPr>
        <w:t>6. Ұлттық экономикада жасырын немесе көлеңкелі экономиканың болуы ЖІӨ-нің және ҰЕЖ-нің басқа да көрсеткіштерінің ақиқат шамаларын айқындауда қиыншылықтар тудырады. Экономикалық статистикада көрсетілмейтін экономикалық іс-әрекеттер жасырын жасалады. Көлеңкелі экономика – мемлекетке салық төлеуден жалтаратын және заңсыз түрде пайда табуды көздейтін экономикалық қызмет.</w:t>
      </w:r>
    </w:p>
    <w:p w14:paraId="6866FFC9" w14:textId="7ACE8A9B" w:rsidR="00C23C66" w:rsidRPr="00591C2C" w:rsidRDefault="00C23C66" w:rsidP="00591C2C">
      <w:pPr>
        <w:pStyle w:val="a3"/>
        <w:spacing w:before="0" w:beforeAutospacing="0" w:after="0" w:afterAutospacing="0"/>
        <w:ind w:firstLine="709"/>
        <w:jc w:val="both"/>
        <w:rPr>
          <w:color w:val="000000"/>
        </w:rPr>
      </w:pPr>
    </w:p>
    <w:p w14:paraId="5BF86C8D" w14:textId="2A5A5D5E" w:rsidR="007B5752" w:rsidRPr="00591C2C" w:rsidRDefault="007B5752" w:rsidP="00591C2C">
      <w:pPr>
        <w:spacing w:after="0" w:line="240" w:lineRule="auto"/>
        <w:ind w:firstLine="709"/>
        <w:jc w:val="both"/>
        <w:rPr>
          <w:rFonts w:ascii="Times New Roman" w:hAnsi="Times New Roman" w:cs="Times New Roman"/>
          <w:sz w:val="24"/>
          <w:szCs w:val="24"/>
          <w:lang w:val="de-DE"/>
        </w:rPr>
      </w:pPr>
    </w:p>
    <w:sectPr w:rsidR="007B5752" w:rsidRPr="00591C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2A2A"/>
    <w:multiLevelType w:val="multilevel"/>
    <w:tmpl w:val="913A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B60D2"/>
    <w:multiLevelType w:val="multilevel"/>
    <w:tmpl w:val="6C04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30D32"/>
    <w:multiLevelType w:val="multilevel"/>
    <w:tmpl w:val="F444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A7B24"/>
    <w:multiLevelType w:val="multilevel"/>
    <w:tmpl w:val="DAF4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B3315"/>
    <w:multiLevelType w:val="multilevel"/>
    <w:tmpl w:val="CE0C1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A2482"/>
    <w:multiLevelType w:val="multilevel"/>
    <w:tmpl w:val="AF6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662F2"/>
    <w:multiLevelType w:val="multilevel"/>
    <w:tmpl w:val="375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002E8"/>
    <w:multiLevelType w:val="multilevel"/>
    <w:tmpl w:val="5090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917A7"/>
    <w:multiLevelType w:val="multilevel"/>
    <w:tmpl w:val="2E0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25608D"/>
    <w:multiLevelType w:val="multilevel"/>
    <w:tmpl w:val="951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E122C"/>
    <w:multiLevelType w:val="multilevel"/>
    <w:tmpl w:val="C296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453D8"/>
    <w:multiLevelType w:val="multilevel"/>
    <w:tmpl w:val="9B46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DF22BE"/>
    <w:multiLevelType w:val="multilevel"/>
    <w:tmpl w:val="33A6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32035C"/>
    <w:multiLevelType w:val="multilevel"/>
    <w:tmpl w:val="03A41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13"/>
  </w:num>
  <w:num w:numId="5">
    <w:abstractNumId w:val="5"/>
  </w:num>
  <w:num w:numId="6">
    <w:abstractNumId w:val="1"/>
  </w:num>
  <w:num w:numId="7">
    <w:abstractNumId w:val="8"/>
  </w:num>
  <w:num w:numId="8">
    <w:abstractNumId w:val="9"/>
  </w:num>
  <w:num w:numId="9">
    <w:abstractNumId w:val="11"/>
  </w:num>
  <w:num w:numId="10">
    <w:abstractNumId w:val="10"/>
  </w:num>
  <w:num w:numId="11">
    <w:abstractNumId w:val="2"/>
  </w:num>
  <w:num w:numId="12">
    <w:abstractNumId w:val="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51"/>
    <w:rsid w:val="00026810"/>
    <w:rsid w:val="00591C2C"/>
    <w:rsid w:val="00683451"/>
    <w:rsid w:val="007B22AF"/>
    <w:rsid w:val="007B5752"/>
    <w:rsid w:val="00C23C66"/>
    <w:rsid w:val="00DA1406"/>
    <w:rsid w:val="00F9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F2C9"/>
  <w15:chartTrackingRefBased/>
  <w15:docId w15:val="{EC949E36-4662-4B76-ACB5-60955E83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3C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C6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10">
    <w:name w:val="Заголовок 1 Знак"/>
    <w:basedOn w:val="a0"/>
    <w:link w:val="1"/>
    <w:uiPriority w:val="9"/>
    <w:rsid w:val="00C23C6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364">
      <w:bodyDiv w:val="1"/>
      <w:marLeft w:val="0"/>
      <w:marRight w:val="0"/>
      <w:marTop w:val="0"/>
      <w:marBottom w:val="0"/>
      <w:divBdr>
        <w:top w:val="none" w:sz="0" w:space="0" w:color="auto"/>
        <w:left w:val="none" w:sz="0" w:space="0" w:color="auto"/>
        <w:bottom w:val="none" w:sz="0" w:space="0" w:color="auto"/>
        <w:right w:val="none" w:sz="0" w:space="0" w:color="auto"/>
      </w:divBdr>
    </w:div>
    <w:div w:id="890309724">
      <w:bodyDiv w:val="1"/>
      <w:marLeft w:val="0"/>
      <w:marRight w:val="0"/>
      <w:marTop w:val="0"/>
      <w:marBottom w:val="0"/>
      <w:divBdr>
        <w:top w:val="none" w:sz="0" w:space="0" w:color="auto"/>
        <w:left w:val="none" w:sz="0" w:space="0" w:color="auto"/>
        <w:bottom w:val="none" w:sz="0" w:space="0" w:color="auto"/>
        <w:right w:val="none" w:sz="0" w:space="0" w:color="auto"/>
      </w:divBdr>
    </w:div>
    <w:div w:id="10357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2020-04-21T05:04:00Z</dcterms:created>
  <dcterms:modified xsi:type="dcterms:W3CDTF">2020-04-21T05:04:00Z</dcterms:modified>
</cp:coreProperties>
</file>